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90" w:lineRule="exact"/>
        <w:ind w:firstLine="0" w:firstLineChars="0"/>
        <w:jc w:val="center"/>
        <w:rPr>
          <w:rFonts w:hint="eastAsia" w:ascii="Times New Roman" w:hAnsi="Times New Roman" w:eastAsia="方正小标宋简体" w:cs="Times New Roman"/>
          <w:color w:val="FF0000"/>
          <w:spacing w:val="120"/>
          <w:w w:val="60"/>
          <w:sz w:val="120"/>
        </w:rPr>
      </w:pPr>
      <w:bookmarkStart w:id="169" w:name="_GoBack"/>
      <w:bookmarkEnd w:id="169"/>
    </w:p>
    <w:p>
      <w:pPr>
        <w:spacing w:line="390" w:lineRule="exact"/>
        <w:ind w:firstLine="0" w:firstLineChars="0"/>
        <w:jc w:val="center"/>
        <w:rPr>
          <w:rFonts w:hint="eastAsia" w:ascii="Times New Roman" w:hAnsi="Times New Roman" w:eastAsia="方正小标宋简体" w:cs="Times New Roman"/>
          <w:color w:val="FF0000"/>
          <w:spacing w:val="120"/>
          <w:w w:val="60"/>
          <w:sz w:val="120"/>
        </w:rPr>
      </w:pPr>
    </w:p>
    <w:p>
      <w:pPr>
        <w:spacing w:line="390" w:lineRule="exact"/>
        <w:ind w:firstLine="0" w:firstLineChars="0"/>
        <w:jc w:val="center"/>
        <w:rPr>
          <w:rFonts w:hint="eastAsia" w:ascii="Times New Roman" w:hAnsi="Times New Roman" w:eastAsia="方正小标宋简体" w:cs="Times New Roman"/>
          <w:color w:val="FF0000"/>
          <w:spacing w:val="120"/>
          <w:w w:val="60"/>
          <w:sz w:val="120"/>
        </w:rPr>
      </w:pPr>
    </w:p>
    <w:p>
      <w:pPr>
        <w:spacing w:line="440" w:lineRule="exact"/>
        <w:ind w:firstLine="0" w:firstLineChars="0"/>
        <w:jc w:val="center"/>
        <w:rPr>
          <w:rFonts w:hint="eastAsia" w:ascii="Times New Roman" w:hAnsi="Times New Roman" w:eastAsia="方正小标宋简体" w:cs="Times New Roman"/>
          <w:color w:val="FF0000"/>
          <w:spacing w:val="120"/>
          <w:w w:val="60"/>
          <w:sz w:val="120"/>
        </w:rPr>
      </w:pPr>
    </w:p>
    <w:p>
      <w:pPr>
        <w:spacing w:line="1800" w:lineRule="exact"/>
        <w:ind w:firstLine="0" w:firstLineChars="0"/>
        <w:jc w:val="center"/>
        <w:rPr>
          <w:rFonts w:hint="eastAsia" w:ascii="Times New Roman" w:hAnsi="Times New Roman" w:eastAsia="方正小标宋简体" w:cs="Times New Roman"/>
          <w:color w:val="FF0000"/>
          <w:w w:val="60"/>
          <w:sz w:val="120"/>
        </w:rPr>
      </w:pPr>
      <w:r>
        <w:rPr>
          <w:rFonts w:hint="eastAsia" w:ascii="Times New Roman" w:hAnsi="Times New Roman" w:eastAsia="方正小标宋简体" w:cs="Times New Roman"/>
          <w:color w:val="FF0000"/>
          <w:spacing w:val="120"/>
          <w:w w:val="60"/>
          <w:sz w:val="120"/>
        </w:rPr>
        <w:t>荥经县人民政府文</w:t>
      </w:r>
      <w:r>
        <w:rPr>
          <w:rFonts w:hint="eastAsia" w:ascii="Times New Roman" w:hAnsi="Times New Roman" w:eastAsia="方正小标宋简体" w:cs="Times New Roman"/>
          <w:color w:val="FF0000"/>
          <w:w w:val="60"/>
          <w:sz w:val="120"/>
        </w:rPr>
        <w:t>件</w:t>
      </w:r>
    </w:p>
    <w:p>
      <w:pPr>
        <w:adjustRightInd w:val="0"/>
        <w:snapToGrid w:val="0"/>
        <w:spacing w:line="410" w:lineRule="exact"/>
        <w:ind w:firstLine="0" w:firstLineChars="0"/>
        <w:jc w:val="center"/>
        <w:rPr>
          <w:rFonts w:hint="eastAsia" w:ascii="Times New Roman" w:hAnsi="Times New Roman" w:cs="Times New Roman"/>
          <w:color w:val="FF0000"/>
        </w:rPr>
      </w:pPr>
    </w:p>
    <w:p>
      <w:pPr>
        <w:adjustRightInd w:val="0"/>
        <w:snapToGrid w:val="0"/>
        <w:spacing w:line="410" w:lineRule="exact"/>
        <w:ind w:firstLine="0" w:firstLineChars="0"/>
        <w:jc w:val="center"/>
        <w:rPr>
          <w:rFonts w:hint="eastAsia" w:ascii="Times New Roman" w:hAnsi="Times New Roman" w:cs="Times New Roman"/>
          <w:color w:val="FFFFFF"/>
        </w:rPr>
      </w:pPr>
    </w:p>
    <w:p>
      <w:pPr>
        <w:pBdr>
          <w:bottom w:val="single" w:color="FF0000" w:sz="18" w:space="8"/>
        </w:pBdr>
        <w:tabs>
          <w:tab w:val="left" w:pos="5875"/>
        </w:tabs>
        <w:spacing w:line="520" w:lineRule="exact"/>
        <w:ind w:firstLine="0" w:firstLineChars="0"/>
        <w:jc w:val="center"/>
        <w:rPr>
          <w:rFonts w:ascii="Times New Roman" w:hAnsi="Times New Roman" w:cs="Times New Roman"/>
          <w:color w:val="FFFFFF"/>
        </w:rPr>
      </w:pPr>
      <w:r>
        <w:rPr>
          <w:rFonts w:hint="eastAsia" w:ascii="仿宋_GB2312" w:hAnsi="Times New Roman" w:cs="Times New Roman"/>
          <w:szCs w:val="32"/>
        </w:rPr>
        <w:t>荥府发〔202</w:t>
      </w:r>
      <w:r>
        <w:rPr>
          <w:rFonts w:hint="eastAsia" w:ascii="仿宋_GB2312" w:hAnsi="Times New Roman" w:cs="Times New Roman"/>
          <w:szCs w:val="32"/>
          <w:lang w:val="en-US" w:eastAsia="zh-CN"/>
        </w:rPr>
        <w:t>2</w:t>
      </w:r>
      <w:r>
        <w:rPr>
          <w:rFonts w:hint="eastAsia" w:ascii="仿宋_GB2312" w:hAnsi="Times New Roman" w:cs="Times New Roman"/>
          <w:szCs w:val="32"/>
        </w:rPr>
        <w:t>〕</w:t>
      </w:r>
      <w:r>
        <w:rPr>
          <w:rFonts w:hint="eastAsia" w:ascii="仿宋_GB2312" w:cs="Times New Roman"/>
          <w:szCs w:val="32"/>
          <w:lang w:val="en-US" w:eastAsia="zh-CN"/>
        </w:rPr>
        <w:t>12</w:t>
      </w:r>
      <w:r>
        <w:rPr>
          <w:rFonts w:hint="eastAsia" w:ascii="仿宋_GB2312" w:hAnsi="Times New Roman" w:cs="Times New Roman"/>
          <w:szCs w:val="32"/>
        </w:rPr>
        <w:t>号</w:t>
      </w:r>
    </w:p>
    <w:p>
      <w:pPr>
        <w:adjustRightInd w:val="0"/>
        <w:snapToGrid w:val="0"/>
        <w:spacing w:line="540" w:lineRule="exact"/>
        <w:ind w:firstLine="320" w:firstLineChars="100"/>
        <w:jc w:val="both"/>
        <w:rPr>
          <w:rFonts w:hint="eastAsia" w:ascii="仿宋_GB2312" w:hAnsi="Times New Roman" w:cs="Times New Roman"/>
          <w:szCs w:val="32"/>
        </w:rPr>
      </w:pPr>
      <w:r>
        <w:rPr>
          <w:rFonts w:hint="eastAsia" w:ascii="仿宋_GB2312" w:hAnsi="Times New Roman" w:cs="Times New Roman"/>
          <w:szCs w:val="32"/>
        </w:rPr>
        <w:t xml:space="preserve">                 </w:t>
      </w:r>
    </w:p>
    <w:p>
      <w:pPr>
        <w:adjustRightInd w:val="0"/>
        <w:snapToGrid w:val="0"/>
        <w:spacing w:line="540" w:lineRule="exact"/>
        <w:ind w:firstLine="0" w:firstLineChars="0"/>
        <w:jc w:val="both"/>
        <w:rPr>
          <w:rFonts w:hint="eastAsia" w:ascii="方正小标宋简体" w:hAnsi="Times New Roman" w:eastAsia="方正小标宋简体" w:cs="宋体"/>
          <w:kern w:val="0"/>
          <w:sz w:val="44"/>
          <w:szCs w:val="44"/>
        </w:rPr>
      </w:pP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eastAsia="zh-CN"/>
        </w:rPr>
        <w:t>荥经县</w:t>
      </w:r>
      <w:r>
        <w:rPr>
          <w:rFonts w:hint="eastAsia" w:ascii="方正小标宋简体" w:hAnsi="方正小标宋简体" w:eastAsia="方正小标宋简体" w:cs="方正小标宋简体"/>
          <w:color w:val="auto"/>
          <w:sz w:val="44"/>
          <w:szCs w:val="44"/>
        </w:rPr>
        <w:t>人民政府</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方正小标宋简体" w:hAnsi="Times New Roman" w:eastAsia="方正小标宋简体" w:cs="Times New Roman"/>
          <w:sz w:val="44"/>
          <w:szCs w:val="44"/>
        </w:rPr>
      </w:pPr>
      <w:r>
        <w:rPr>
          <w:rFonts w:hint="eastAsia" w:ascii="方正小标宋简体" w:hAnsi="方正小标宋简体" w:eastAsia="方正小标宋简体" w:cs="方正小标宋简体"/>
          <w:color w:val="auto"/>
          <w:sz w:val="44"/>
          <w:szCs w:val="44"/>
        </w:rPr>
        <w:t>关于印发《</w:t>
      </w:r>
      <w:r>
        <w:rPr>
          <w:rFonts w:hint="default" w:ascii="方正小标宋简体" w:hAnsi="方正小标宋简体" w:eastAsia="方正小标宋简体" w:cs="方正小标宋简体"/>
          <w:color w:val="auto"/>
          <w:sz w:val="44"/>
          <w:szCs w:val="44"/>
        </w:rPr>
        <w:t>荥经县“十四五”</w:t>
      </w:r>
      <w:r>
        <w:rPr>
          <w:rFonts w:hint="eastAsia" w:ascii="方正小标宋简体" w:hAnsi="方正小标宋简体" w:eastAsia="方正小标宋简体" w:cs="方正小标宋简体"/>
          <w:color w:val="auto"/>
          <w:sz w:val="44"/>
          <w:szCs w:val="44"/>
          <w:lang w:val="en-US" w:eastAsia="zh-CN"/>
        </w:rPr>
        <w:t>服务业发展规划</w:t>
      </w:r>
      <w:r>
        <w:rPr>
          <w:rFonts w:hint="eastAsia" w:ascii="方正小标宋简体" w:hAnsi="方正小标宋简体" w:eastAsia="方正小标宋简体" w:cs="方正小标宋简体"/>
          <w:color w:val="auto"/>
          <w:sz w:val="44"/>
          <w:szCs w:val="44"/>
        </w:rPr>
        <w:t>》的通知</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both"/>
        <w:textAlignment w:val="auto"/>
        <w:rPr>
          <w:rFonts w:hint="eastAsia" w:ascii="仿宋_GB2312" w:hAnsi="Times New Roman" w:cs="Times New Roman"/>
          <w:szCs w:val="32"/>
        </w:rPr>
      </w:pPr>
      <w:r>
        <w:rPr>
          <w:rFonts w:hint="eastAsia" w:ascii="仿宋_GB2312" w:hAnsi="Times New Roman" w:cs="Times New Roman"/>
          <w:szCs w:val="32"/>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eastAsia="zh-CN"/>
        </w:rPr>
        <w:t>乡镇（街道）</w:t>
      </w:r>
      <w:r>
        <w:rPr>
          <w:rFonts w:hint="eastAsia" w:ascii="仿宋_GB2312" w:hAnsi="仿宋_GB2312" w:eastAsia="仿宋_GB2312" w:cs="仿宋_GB2312"/>
          <w:color w:val="auto"/>
          <w:sz w:val="32"/>
          <w:szCs w:val="32"/>
        </w:rPr>
        <w:t>人民政府</w:t>
      </w:r>
      <w:r>
        <w:rPr>
          <w:rFonts w:hint="eastAsia" w:ascii="仿宋_GB2312" w:hAnsi="仿宋_GB2312" w:eastAsia="仿宋_GB2312" w:cs="仿宋_GB2312"/>
          <w:color w:val="auto"/>
          <w:sz w:val="32"/>
          <w:szCs w:val="32"/>
          <w:lang w:eastAsia="zh-CN"/>
        </w:rPr>
        <w:t>（办事处）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县级有关单位：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《荥经县“十四五”</w:t>
      </w:r>
      <w:r>
        <w:rPr>
          <w:rFonts w:hint="eastAsia" w:ascii="仿宋_GB2312" w:hAnsi="仿宋_GB2312" w:eastAsia="仿宋_GB2312" w:cs="仿宋_GB2312"/>
          <w:color w:val="auto"/>
          <w:sz w:val="32"/>
          <w:szCs w:val="32"/>
          <w:lang w:val="en-US" w:eastAsia="zh-CN"/>
        </w:rPr>
        <w:t>服务业发展规划</w:t>
      </w:r>
      <w:r>
        <w:rPr>
          <w:rFonts w:hint="eastAsia" w:ascii="仿宋_GB2312" w:hAnsi="仿宋_GB2312" w:eastAsia="仿宋_GB2312" w:cs="仿宋_GB2312"/>
          <w:color w:val="auto"/>
          <w:sz w:val="32"/>
          <w:szCs w:val="32"/>
        </w:rPr>
        <w:t>》已经</w:t>
      </w:r>
      <w:r>
        <w:rPr>
          <w:rFonts w:hint="eastAsia" w:ascii="仿宋_GB2312" w:hAnsi="仿宋_GB2312" w:cs="仿宋_GB2312"/>
          <w:color w:val="auto"/>
          <w:sz w:val="32"/>
          <w:szCs w:val="32"/>
          <w:lang w:val="en-US" w:eastAsia="zh-CN"/>
        </w:rPr>
        <w:t>县政府同意</w:t>
      </w:r>
      <w:r>
        <w:rPr>
          <w:rFonts w:hint="eastAsia" w:ascii="仿宋_GB2312" w:hAnsi="仿宋_GB2312" w:eastAsia="仿宋_GB2312" w:cs="仿宋_GB2312"/>
          <w:color w:val="auto"/>
          <w:sz w:val="32"/>
          <w:szCs w:val="32"/>
        </w:rPr>
        <w:t>，现印发给你们，请认真组织实施。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ind w:firstLine="5120" w:firstLineChars="16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荥经县人民政府</w:t>
      </w:r>
    </w:p>
    <w:p>
      <w:pPr>
        <w:keepNext w:val="0"/>
        <w:keepLines w:val="0"/>
        <w:pageBreakBefore w:val="0"/>
        <w:widowControl w:val="0"/>
        <w:kinsoku/>
        <w:wordWrap/>
        <w:overflowPunct/>
        <w:topLinePunct w:val="0"/>
        <w:autoSpaceDE/>
        <w:autoSpaceDN/>
        <w:bidi w:val="0"/>
        <w:adjustRightInd/>
        <w:snapToGrid/>
        <w:spacing w:line="576" w:lineRule="exact"/>
        <w:ind w:firstLine="5120" w:firstLineChars="1600"/>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2022年10月</w:t>
      </w:r>
      <w:r>
        <w:rPr>
          <w:rFonts w:hint="eastAsia" w:ascii="仿宋_GB2312" w:hAnsi="仿宋_GB2312" w:cs="仿宋_GB2312"/>
          <w:color w:val="auto"/>
          <w:kern w:val="2"/>
          <w:sz w:val="32"/>
          <w:szCs w:val="32"/>
          <w:lang w:val="en-US" w:eastAsia="zh-CN" w:bidi="ar-SA"/>
        </w:rPr>
        <w:t>31</w:t>
      </w:r>
      <w:r>
        <w:rPr>
          <w:rFonts w:hint="eastAsia" w:ascii="仿宋_GB2312" w:hAnsi="仿宋_GB2312" w:eastAsia="仿宋_GB2312" w:cs="仿宋_GB2312"/>
          <w:color w:val="auto"/>
          <w:kern w:val="2"/>
          <w:sz w:val="32"/>
          <w:szCs w:val="32"/>
          <w:lang w:val="en-US" w:eastAsia="zh-CN" w:bidi="ar-SA"/>
        </w:rPr>
        <w:t>日</w:t>
      </w:r>
    </w:p>
    <w:p>
      <w:pPr>
        <w:widowControl/>
        <w:tabs>
          <w:tab w:val="left" w:pos="0"/>
        </w:tabs>
        <w:ind w:firstLine="0" w:firstLineChars="0"/>
        <w:jc w:val="both"/>
        <w:rPr>
          <w:rFonts w:eastAsia="方正大标宋简体" w:cs="Times New Roman"/>
          <w:b/>
          <w:sz w:val="52"/>
          <w:szCs w:val="52"/>
        </w:rPr>
      </w:pPr>
    </w:p>
    <w:p>
      <w:pPr>
        <w:widowControl/>
        <w:tabs>
          <w:tab w:val="left" w:pos="0"/>
        </w:tabs>
        <w:ind w:firstLine="0" w:firstLineChars="0"/>
        <w:jc w:val="center"/>
        <w:rPr>
          <w:rFonts w:eastAsia="方正大标宋简体" w:cs="Times New Roman"/>
          <w:b/>
          <w:sz w:val="52"/>
          <w:szCs w:val="52"/>
        </w:rPr>
      </w:pPr>
      <w:r>
        <w:rPr>
          <w:rFonts w:hint="eastAsia" w:ascii="方正小标宋简体" w:hAnsi="方正小标宋简体" w:eastAsia="方正小标宋简体" w:cs="方正小标宋简体"/>
          <w:b w:val="0"/>
          <w:bCs/>
          <w:sz w:val="44"/>
          <w:szCs w:val="44"/>
        </w:rPr>
        <w:t>荥经县“十四五”服务业发展规划</w:t>
      </w:r>
    </w:p>
    <w:p>
      <w:pPr>
        <w:ind w:left="0" w:leftChars="0" w:firstLine="0" w:firstLineChars="0"/>
      </w:pPr>
    </w:p>
    <w:sdt>
      <w:sdtPr>
        <w:rPr>
          <w:rFonts w:eastAsia="黑体" w:cs="Times New Roman"/>
          <w:sz w:val="36"/>
          <w:szCs w:val="36"/>
        </w:rPr>
        <w:id w:val="147456600"/>
      </w:sdtPr>
      <w:sdtEndPr>
        <w:rPr>
          <w:rFonts w:eastAsia="楷体" w:cs="Times New Roman"/>
          <w:bCs/>
          <w:sz w:val="32"/>
          <w:szCs w:val="44"/>
        </w:rPr>
      </w:sdtEndPr>
      <w:sdtContent>
        <w:p>
          <w:pPr>
            <w:ind w:firstLine="0" w:firstLineChars="0"/>
            <w:jc w:val="center"/>
            <w:rPr>
              <w:rFonts w:eastAsia="黑体" w:cs="Times New Roman"/>
              <w:sz w:val="36"/>
              <w:szCs w:val="36"/>
            </w:rPr>
          </w:pPr>
          <w:r>
            <w:rPr>
              <w:rFonts w:eastAsia="黑体" w:cs="Times New Roman"/>
              <w:sz w:val="32"/>
              <w:szCs w:val="32"/>
            </w:rPr>
            <w:t>目 录</w:t>
          </w:r>
        </w:p>
        <w:p>
          <w:pPr>
            <w:pStyle w:val="14"/>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TOC \o "1-3" \h \u </w:instrText>
          </w:r>
          <w:r>
            <w:rPr>
              <w:rFonts w:hint="eastAsia" w:ascii="仿宋" w:hAnsi="仿宋" w:eastAsia="仿宋" w:cs="仿宋"/>
              <w:bCs/>
              <w:sz w:val="28"/>
              <w:szCs w:val="28"/>
            </w:rPr>
            <w:fldChar w:fldCharType="separate"/>
          </w: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_Toc10273 </w:instrText>
          </w:r>
          <w:r>
            <w:rPr>
              <w:rFonts w:hint="eastAsia" w:ascii="黑体" w:hAnsi="黑体" w:eastAsia="黑体" w:cs="黑体"/>
              <w:bCs/>
              <w:sz w:val="28"/>
              <w:szCs w:val="28"/>
            </w:rPr>
            <w:fldChar w:fldCharType="separate"/>
          </w:r>
          <w:r>
            <w:rPr>
              <w:rFonts w:hint="eastAsia" w:ascii="黑体" w:hAnsi="黑体" w:eastAsia="黑体" w:cs="黑体"/>
              <w:sz w:val="28"/>
              <w:szCs w:val="28"/>
            </w:rPr>
            <w:t>一、规划总则</w:t>
          </w:r>
          <w:r>
            <w:rPr>
              <w:rFonts w:hint="eastAsia" w:ascii="黑体" w:hAnsi="黑体" w:cs="黑体"/>
              <w:sz w:val="28"/>
              <w:szCs w:val="28"/>
              <w:lang w:val="en-US" w:eastAsia="zh-CN"/>
            </w:rPr>
            <w:t xml:space="preserve"> </w:t>
          </w:r>
          <w:r>
            <w:rPr>
              <w:rFonts w:hint="eastAsia" w:ascii="黑体" w:hAnsi="黑体" w:eastAsia="黑体" w:cs="黑体"/>
              <w:sz w:val="28"/>
              <w:szCs w:val="28"/>
            </w:rPr>
            <w:tab/>
          </w:r>
          <w:r>
            <w:rPr>
              <w:rFonts w:hint="eastAsia" w:ascii="黑体" w:hAnsi="黑体" w:cs="黑体"/>
              <w:sz w:val="28"/>
              <w:szCs w:val="28"/>
              <w:lang w:val="en-US" w:eastAsia="zh-CN"/>
            </w:rPr>
            <w:t>1</w:t>
          </w:r>
          <w:r>
            <w:rPr>
              <w:rFonts w:hint="eastAsia" w:ascii="黑体" w:hAnsi="黑体" w:eastAsia="黑体" w:cs="黑体"/>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_Toc10319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（一）规划目的</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_Toc20344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（二）规划范围</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_Toc24399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（三）规划时限</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_Toc27267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（四）规划依据</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p>
        <w:p>
          <w:pPr>
            <w:pStyle w:val="14"/>
            <w:tabs>
              <w:tab w:val="right" w:leader="dot" w:pos="8306"/>
            </w:tabs>
            <w:rPr>
              <w:rFonts w:hint="eastAsia" w:ascii="黑体" w:hAnsi="黑体" w:eastAsia="黑体" w:cs="黑体"/>
              <w:sz w:val="28"/>
              <w:szCs w:val="28"/>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_Toc30897 </w:instrText>
          </w:r>
          <w:r>
            <w:rPr>
              <w:rFonts w:hint="eastAsia" w:ascii="黑体" w:hAnsi="黑体" w:eastAsia="黑体" w:cs="黑体"/>
              <w:bCs/>
              <w:sz w:val="28"/>
              <w:szCs w:val="28"/>
            </w:rPr>
            <w:fldChar w:fldCharType="separate"/>
          </w:r>
          <w:r>
            <w:rPr>
              <w:rFonts w:hint="eastAsia" w:ascii="黑体" w:hAnsi="黑体" w:eastAsia="黑体" w:cs="黑体"/>
              <w:sz w:val="28"/>
              <w:szCs w:val="28"/>
            </w:rPr>
            <w:t>二、发展现状</w:t>
          </w:r>
          <w:r>
            <w:rPr>
              <w:rFonts w:hint="eastAsia" w:ascii="黑体" w:hAnsi="黑体" w:eastAsia="黑体" w:cs="黑体"/>
              <w:sz w:val="28"/>
              <w:szCs w:val="28"/>
            </w:rPr>
            <w:tab/>
          </w:r>
          <w:r>
            <w:rPr>
              <w:rFonts w:hint="eastAsia" w:ascii="黑体" w:hAnsi="黑体" w:cs="黑体"/>
              <w:sz w:val="28"/>
              <w:szCs w:val="28"/>
              <w:lang w:val="en-US" w:eastAsia="zh-CN"/>
            </w:rPr>
            <w:t>3</w:t>
          </w:r>
          <w:r>
            <w:rPr>
              <w:rFonts w:hint="eastAsia" w:ascii="黑体" w:hAnsi="黑体" w:eastAsia="黑体" w:cs="黑体"/>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_Toc24311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（一）发展成效</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_Toc22818 </w:instrText>
          </w:r>
          <w:r>
            <w:rPr>
              <w:rFonts w:hint="eastAsia" w:ascii="仿宋" w:hAnsi="仿宋" w:eastAsia="仿宋" w:cs="仿宋"/>
              <w:bCs/>
              <w:sz w:val="28"/>
              <w:szCs w:val="28"/>
            </w:rPr>
            <w:fldChar w:fldCharType="separate"/>
          </w:r>
          <w:r>
            <w:rPr>
              <w:rFonts w:hint="eastAsia" w:ascii="仿宋" w:hAnsi="仿宋" w:eastAsia="仿宋" w:cs="仿宋"/>
              <w:sz w:val="28"/>
              <w:szCs w:val="28"/>
            </w:rPr>
            <w:t>1.产业地位显著提升</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_Toc1371 </w:instrText>
          </w:r>
          <w:r>
            <w:rPr>
              <w:rFonts w:hint="eastAsia" w:ascii="仿宋" w:hAnsi="仿宋" w:eastAsia="仿宋" w:cs="仿宋"/>
              <w:bCs/>
              <w:sz w:val="28"/>
              <w:szCs w:val="28"/>
            </w:rPr>
            <w:fldChar w:fldCharType="separate"/>
          </w:r>
          <w:r>
            <w:rPr>
              <w:rFonts w:hint="eastAsia" w:ascii="仿宋" w:hAnsi="仿宋" w:eastAsia="仿宋" w:cs="仿宋"/>
              <w:sz w:val="28"/>
              <w:szCs w:val="28"/>
            </w:rPr>
            <w:t>2.重点行业显著发展</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_Toc2931 </w:instrText>
          </w:r>
          <w:r>
            <w:rPr>
              <w:rFonts w:hint="eastAsia" w:ascii="仿宋" w:hAnsi="仿宋" w:eastAsia="仿宋" w:cs="仿宋"/>
              <w:bCs/>
              <w:sz w:val="28"/>
              <w:szCs w:val="28"/>
            </w:rPr>
            <w:fldChar w:fldCharType="separate"/>
          </w:r>
          <w:r>
            <w:rPr>
              <w:rFonts w:hint="eastAsia" w:ascii="仿宋" w:hAnsi="仿宋" w:eastAsia="仿宋" w:cs="仿宋"/>
              <w:sz w:val="28"/>
              <w:szCs w:val="28"/>
            </w:rPr>
            <w:t>3.扶持力度显著增强</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_Toc2070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（二）存在短板</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_Toc6111 </w:instrText>
          </w:r>
          <w:r>
            <w:rPr>
              <w:rFonts w:hint="eastAsia" w:ascii="仿宋" w:hAnsi="仿宋" w:eastAsia="仿宋" w:cs="仿宋"/>
              <w:bCs/>
              <w:sz w:val="28"/>
              <w:szCs w:val="28"/>
            </w:rPr>
            <w:fldChar w:fldCharType="separate"/>
          </w:r>
          <w:r>
            <w:rPr>
              <w:rFonts w:hint="eastAsia" w:ascii="仿宋" w:hAnsi="仿宋" w:eastAsia="仿宋" w:cs="仿宋"/>
              <w:sz w:val="28"/>
              <w:szCs w:val="28"/>
            </w:rPr>
            <w:t>1.资源开发程度低，产业配套不完善</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_Toc28 </w:instrText>
          </w:r>
          <w:r>
            <w:rPr>
              <w:rFonts w:hint="eastAsia" w:ascii="仿宋" w:hAnsi="仿宋" w:eastAsia="仿宋" w:cs="仿宋"/>
              <w:bCs/>
              <w:sz w:val="28"/>
              <w:szCs w:val="28"/>
            </w:rPr>
            <w:fldChar w:fldCharType="separate"/>
          </w:r>
          <w:r>
            <w:rPr>
              <w:rFonts w:hint="eastAsia" w:ascii="仿宋" w:hAnsi="仿宋" w:eastAsia="仿宋" w:cs="仿宋"/>
              <w:sz w:val="28"/>
              <w:szCs w:val="28"/>
            </w:rPr>
            <w:t>2.产业结构不平衡，新兴服务业匮乏</w:t>
          </w:r>
          <w:r>
            <w:rPr>
              <w:rFonts w:hint="eastAsia" w:ascii="仿宋" w:hAnsi="仿宋" w:eastAsia="仿宋" w:cs="仿宋"/>
              <w:sz w:val="28"/>
              <w:szCs w:val="28"/>
            </w:rPr>
            <w:tab/>
          </w:r>
          <w:r>
            <w:rPr>
              <w:rFonts w:hint="eastAsia" w:ascii="仿宋" w:hAnsi="仿宋" w:eastAsia="仿宋" w:cs="仿宋"/>
              <w:sz w:val="28"/>
              <w:szCs w:val="28"/>
              <w:lang w:val="en-US" w:eastAsia="zh-CN"/>
            </w:rPr>
            <w:t>8</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_Toc18058 </w:instrText>
          </w:r>
          <w:r>
            <w:rPr>
              <w:rFonts w:hint="eastAsia" w:ascii="仿宋" w:hAnsi="仿宋" w:eastAsia="仿宋" w:cs="仿宋"/>
              <w:bCs/>
              <w:sz w:val="28"/>
              <w:szCs w:val="28"/>
            </w:rPr>
            <w:fldChar w:fldCharType="separate"/>
          </w:r>
          <w:r>
            <w:rPr>
              <w:rFonts w:hint="eastAsia" w:ascii="仿宋" w:hAnsi="仿宋" w:eastAsia="仿宋" w:cs="仿宋"/>
              <w:sz w:val="28"/>
              <w:szCs w:val="28"/>
            </w:rPr>
            <w:t>3.产业融合互动弱，工农业拉动不强</w:t>
          </w:r>
          <w:r>
            <w:rPr>
              <w:rFonts w:hint="eastAsia" w:ascii="仿宋" w:hAnsi="仿宋" w:eastAsia="仿宋" w:cs="仿宋"/>
              <w:sz w:val="28"/>
              <w:szCs w:val="28"/>
            </w:rPr>
            <w:tab/>
          </w:r>
          <w:r>
            <w:rPr>
              <w:rFonts w:hint="eastAsia" w:ascii="仿宋" w:hAnsi="仿宋" w:eastAsia="仿宋" w:cs="仿宋"/>
              <w:sz w:val="28"/>
              <w:szCs w:val="28"/>
              <w:lang w:val="en-US" w:eastAsia="zh-CN"/>
            </w:rPr>
            <w:t>8</w:t>
          </w:r>
          <w:r>
            <w:rPr>
              <w:rFonts w:hint="eastAsia" w:ascii="仿宋" w:hAnsi="仿宋" w:eastAsia="仿宋" w:cs="仿宋"/>
              <w:bCs/>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_Toc25597 </w:instrText>
          </w:r>
          <w:r>
            <w:rPr>
              <w:rFonts w:hint="eastAsia" w:ascii="仿宋" w:hAnsi="仿宋" w:eastAsia="仿宋" w:cs="仿宋"/>
              <w:bCs/>
              <w:sz w:val="28"/>
              <w:szCs w:val="28"/>
            </w:rPr>
            <w:fldChar w:fldCharType="separate"/>
          </w:r>
          <w:r>
            <w:rPr>
              <w:rFonts w:hint="eastAsia" w:ascii="仿宋" w:hAnsi="仿宋" w:eastAsia="仿宋" w:cs="仿宋"/>
              <w:sz w:val="28"/>
              <w:szCs w:val="28"/>
            </w:rPr>
            <w:t>4.缺龙头企业带动，集聚效应不明显</w:t>
          </w:r>
          <w:r>
            <w:rPr>
              <w:rFonts w:hint="eastAsia" w:ascii="仿宋" w:hAnsi="仿宋" w:eastAsia="仿宋" w:cs="仿宋"/>
              <w:sz w:val="28"/>
              <w:szCs w:val="28"/>
            </w:rPr>
            <w:tab/>
          </w:r>
          <w:r>
            <w:rPr>
              <w:rFonts w:hint="eastAsia" w:ascii="仿宋" w:hAnsi="仿宋" w:eastAsia="仿宋" w:cs="仿宋"/>
              <w:sz w:val="28"/>
              <w:szCs w:val="28"/>
              <w:lang w:val="en-US" w:eastAsia="zh-CN"/>
            </w:rPr>
            <w:t>9</w:t>
          </w:r>
          <w:r>
            <w:rPr>
              <w:rFonts w:hint="eastAsia" w:ascii="仿宋" w:hAnsi="仿宋" w:eastAsia="仿宋" w:cs="仿宋"/>
              <w:bCs/>
              <w:sz w:val="28"/>
              <w:szCs w:val="28"/>
            </w:rPr>
            <w:fldChar w:fldCharType="end"/>
          </w:r>
        </w:p>
        <w:p>
          <w:pPr>
            <w:pStyle w:val="14"/>
            <w:tabs>
              <w:tab w:val="right" w:leader="dot" w:pos="8306"/>
            </w:tabs>
            <w:rPr>
              <w:rFonts w:hint="eastAsia" w:ascii="黑体" w:hAnsi="黑体" w:eastAsia="黑体" w:cs="黑体"/>
              <w:sz w:val="28"/>
              <w:szCs w:val="28"/>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_Toc11993 </w:instrText>
          </w:r>
          <w:r>
            <w:rPr>
              <w:rFonts w:hint="eastAsia" w:ascii="黑体" w:hAnsi="黑体" w:eastAsia="黑体" w:cs="黑体"/>
              <w:bCs/>
              <w:sz w:val="28"/>
              <w:szCs w:val="28"/>
            </w:rPr>
            <w:fldChar w:fldCharType="separate"/>
          </w:r>
          <w:r>
            <w:rPr>
              <w:rFonts w:hint="eastAsia" w:ascii="黑体" w:hAnsi="黑体" w:eastAsia="黑体" w:cs="黑体"/>
              <w:sz w:val="28"/>
              <w:szCs w:val="28"/>
            </w:rPr>
            <w:t>三、潜力优势</w:t>
          </w:r>
          <w:r>
            <w:rPr>
              <w:rFonts w:hint="eastAsia" w:ascii="黑体" w:hAnsi="黑体" w:eastAsia="黑体" w:cs="黑体"/>
              <w:sz w:val="28"/>
              <w:szCs w:val="28"/>
            </w:rPr>
            <w:tab/>
          </w:r>
          <w:r>
            <w:rPr>
              <w:rFonts w:hint="eastAsia" w:ascii="黑体" w:hAnsi="黑体" w:cs="黑体"/>
              <w:sz w:val="28"/>
              <w:szCs w:val="28"/>
              <w:lang w:val="en-US" w:eastAsia="zh-CN"/>
            </w:rPr>
            <w:t>9</w:t>
          </w:r>
          <w:r>
            <w:rPr>
              <w:rFonts w:hint="eastAsia" w:ascii="黑体" w:hAnsi="黑体" w:eastAsia="黑体" w:cs="黑体"/>
              <w:bCs/>
              <w:sz w:val="28"/>
              <w:szCs w:val="28"/>
            </w:rPr>
            <w:fldChar w:fldCharType="end"/>
          </w:r>
        </w:p>
        <w:p>
          <w:pPr>
            <w:pStyle w:val="16"/>
            <w:tabs>
              <w:tab w:val="right" w:leader="dot" w:pos="8306"/>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_Toc17499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（一）区位交通优势</w:t>
          </w:r>
          <w:r>
            <w:rPr>
              <w:rFonts w:hint="eastAsia" w:ascii="仿宋" w:hAnsi="仿宋" w:eastAsia="仿宋" w:cs="仿宋"/>
              <w:sz w:val="28"/>
              <w:szCs w:val="28"/>
            </w:rPr>
            <w:tab/>
          </w:r>
          <w:r>
            <w:rPr>
              <w:rFonts w:hint="eastAsia" w:ascii="仿宋" w:hAnsi="仿宋" w:eastAsia="仿宋" w:cs="仿宋"/>
              <w:sz w:val="28"/>
              <w:szCs w:val="28"/>
              <w:lang w:val="en-US" w:eastAsia="zh-CN"/>
            </w:rPr>
            <w:t>9</w:t>
          </w:r>
          <w:r>
            <w:rPr>
              <w:rFonts w:hint="eastAsia" w:ascii="仿宋" w:hAnsi="仿宋" w:eastAsia="仿宋" w:cs="仿宋"/>
              <w:bCs/>
              <w:sz w:val="28"/>
              <w:szCs w:val="28"/>
            </w:rPr>
            <w:fldChar w:fldCharType="end"/>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_Toc17034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（二）生态资源优势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0</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_Toc26892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（三）文旅资源优势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0</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_Toc15046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（四）农特产品优势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1</w:t>
          </w:r>
        </w:p>
        <w:p>
          <w:pPr>
            <w:pStyle w:val="14"/>
            <w:tabs>
              <w:tab w:val="right" w:leader="dot" w:pos="8306"/>
            </w:tabs>
            <w:rPr>
              <w:rFonts w:hint="eastAsia" w:ascii="仿宋" w:hAnsi="仿宋" w:eastAsia="黑体" w:cs="仿宋"/>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_Toc15491 </w:instrText>
          </w:r>
          <w:r>
            <w:rPr>
              <w:rFonts w:hint="eastAsia" w:ascii="黑体" w:hAnsi="黑体" w:eastAsia="黑体" w:cs="黑体"/>
              <w:bCs/>
              <w:sz w:val="28"/>
              <w:szCs w:val="28"/>
            </w:rPr>
            <w:fldChar w:fldCharType="separate"/>
          </w:r>
          <w:r>
            <w:rPr>
              <w:rFonts w:hint="eastAsia" w:ascii="黑体" w:hAnsi="黑体" w:eastAsia="黑体" w:cs="黑体"/>
              <w:sz w:val="28"/>
              <w:szCs w:val="28"/>
            </w:rPr>
            <w:t>四、</w:t>
          </w:r>
          <w:r>
            <w:rPr>
              <w:rFonts w:hint="eastAsia" w:ascii="黑体" w:hAnsi="黑体" w:eastAsia="黑体" w:cs="黑体"/>
              <w:sz w:val="28"/>
              <w:szCs w:val="28"/>
              <w:lang w:eastAsia="zh-Hans"/>
            </w:rPr>
            <w:t>宏观</w:t>
          </w:r>
          <w:r>
            <w:rPr>
              <w:rFonts w:hint="eastAsia" w:ascii="黑体" w:hAnsi="黑体" w:eastAsia="黑体" w:cs="黑体"/>
              <w:sz w:val="28"/>
              <w:szCs w:val="28"/>
            </w:rPr>
            <w:t>形势</w:t>
          </w:r>
          <w:r>
            <w:rPr>
              <w:rFonts w:hint="eastAsia" w:ascii="黑体" w:hAnsi="黑体" w:eastAsia="黑体" w:cs="黑体"/>
              <w:sz w:val="28"/>
              <w:szCs w:val="28"/>
            </w:rPr>
            <w:tab/>
          </w:r>
          <w:r>
            <w:rPr>
              <w:rFonts w:hint="eastAsia" w:ascii="黑体" w:hAnsi="黑体" w:cs="黑体"/>
              <w:sz w:val="28"/>
              <w:szCs w:val="28"/>
              <w:lang w:val="en-US" w:eastAsia="zh-CN"/>
            </w:rPr>
            <w:t>1</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2</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_Toc15998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（一）国家形势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2</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_Toc7976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（二）川渝形势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_Toc5318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（三）雅安形势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_Toc19146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（四）荥经形势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pStyle w:val="14"/>
            <w:tabs>
              <w:tab w:val="right" w:leader="dot" w:pos="8306"/>
            </w:tabs>
            <w:rPr>
              <w:rFonts w:hint="eastAsia" w:ascii="黑体" w:hAnsi="黑体" w:eastAsia="黑体" w:cs="黑体"/>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_Toc2839 </w:instrText>
          </w:r>
          <w:r>
            <w:rPr>
              <w:rFonts w:hint="eastAsia" w:ascii="黑体" w:hAnsi="黑体" w:eastAsia="黑体" w:cs="黑体"/>
              <w:bCs/>
              <w:sz w:val="28"/>
              <w:szCs w:val="28"/>
            </w:rPr>
            <w:fldChar w:fldCharType="separate"/>
          </w:r>
          <w:r>
            <w:rPr>
              <w:rFonts w:hint="eastAsia" w:ascii="黑体" w:hAnsi="黑体" w:eastAsia="黑体" w:cs="黑体"/>
              <w:sz w:val="28"/>
              <w:szCs w:val="28"/>
            </w:rPr>
            <w:t>五、总体判断</w:t>
          </w:r>
          <w:r>
            <w:rPr>
              <w:rFonts w:hint="eastAsia" w:ascii="黑体" w:hAnsi="黑体" w:eastAsia="黑体" w:cs="黑体"/>
              <w:sz w:val="28"/>
              <w:szCs w:val="28"/>
            </w:rPr>
            <w:tab/>
          </w:r>
          <w:r>
            <w:rPr>
              <w:rFonts w:hint="eastAsia" w:ascii="黑体" w:hAnsi="黑体" w:cs="黑体"/>
              <w:sz w:val="28"/>
              <w:szCs w:val="28"/>
              <w:lang w:val="en-US" w:eastAsia="zh-CN"/>
            </w:rPr>
            <w:t>1</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4</w:t>
          </w:r>
        </w:p>
        <w:p>
          <w:pPr>
            <w:pStyle w:val="14"/>
            <w:tabs>
              <w:tab w:val="right" w:leader="dot" w:pos="8306"/>
            </w:tabs>
            <w:rPr>
              <w:rFonts w:hint="eastAsia" w:ascii="黑体" w:hAnsi="黑体" w:eastAsia="黑体" w:cs="黑体"/>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_Toc28243 </w:instrText>
          </w:r>
          <w:r>
            <w:rPr>
              <w:rFonts w:hint="eastAsia" w:ascii="黑体" w:hAnsi="黑体" w:eastAsia="黑体" w:cs="黑体"/>
              <w:bCs/>
              <w:sz w:val="28"/>
              <w:szCs w:val="28"/>
            </w:rPr>
            <w:fldChar w:fldCharType="separate"/>
          </w:r>
          <w:r>
            <w:rPr>
              <w:rFonts w:hint="eastAsia" w:ascii="黑体" w:hAnsi="黑体" w:eastAsia="黑体" w:cs="黑体"/>
              <w:sz w:val="28"/>
              <w:szCs w:val="28"/>
            </w:rPr>
            <w:t>六、发展要求</w:t>
          </w:r>
          <w:r>
            <w:rPr>
              <w:rFonts w:hint="eastAsia" w:ascii="黑体" w:hAnsi="黑体" w:eastAsia="黑体" w:cs="黑体"/>
              <w:sz w:val="28"/>
              <w:szCs w:val="28"/>
            </w:rPr>
            <w:tab/>
          </w:r>
          <w:r>
            <w:rPr>
              <w:rFonts w:hint="eastAsia" w:ascii="黑体" w:hAnsi="黑体" w:cs="黑体"/>
              <w:sz w:val="28"/>
              <w:szCs w:val="28"/>
              <w:lang w:val="en-US" w:eastAsia="zh-CN"/>
            </w:rPr>
            <w:t>1</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5</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_Toc13985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（一）指导思想</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5</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_Toc11363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（二）基本原则</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_Toc12554 </w:instrText>
          </w:r>
          <w:r>
            <w:rPr>
              <w:rFonts w:hint="eastAsia" w:ascii="仿宋" w:hAnsi="仿宋" w:eastAsia="仿宋" w:cs="仿宋"/>
              <w:bCs/>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lang w:bidi="ar"/>
            </w:rPr>
            <w:t>坚持创新发展，推动转型升级</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_Toc15232 </w:instrText>
          </w:r>
          <w:r>
            <w:rPr>
              <w:rFonts w:hint="eastAsia" w:ascii="仿宋" w:hAnsi="仿宋" w:eastAsia="仿宋" w:cs="仿宋"/>
              <w:bCs/>
              <w:sz w:val="28"/>
              <w:szCs w:val="28"/>
            </w:rPr>
            <w:fldChar w:fldCharType="separate"/>
          </w:r>
          <w:r>
            <w:rPr>
              <w:rFonts w:hint="eastAsia" w:ascii="仿宋" w:hAnsi="仿宋" w:eastAsia="仿宋" w:cs="仿宋"/>
              <w:sz w:val="28"/>
              <w:szCs w:val="28"/>
              <w:lang w:bidi="ar"/>
            </w:rPr>
            <w:t>2.坚持错位发展，突显特色优势</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_Toc13392 </w:instrText>
          </w:r>
          <w:r>
            <w:rPr>
              <w:rFonts w:hint="eastAsia" w:ascii="仿宋" w:hAnsi="仿宋" w:eastAsia="仿宋" w:cs="仿宋"/>
              <w:bCs/>
              <w:sz w:val="28"/>
              <w:szCs w:val="28"/>
            </w:rPr>
            <w:fldChar w:fldCharType="separate"/>
          </w:r>
          <w:r>
            <w:rPr>
              <w:rFonts w:hint="eastAsia" w:ascii="仿宋" w:hAnsi="仿宋" w:eastAsia="仿宋" w:cs="仿宋"/>
              <w:sz w:val="28"/>
              <w:szCs w:val="28"/>
              <w:lang w:bidi="ar"/>
            </w:rPr>
            <w:t>3.坚持融合发展，加强产业联动</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_Toc7413 </w:instrText>
          </w:r>
          <w:r>
            <w:rPr>
              <w:rFonts w:hint="eastAsia" w:ascii="仿宋" w:hAnsi="仿宋" w:eastAsia="仿宋" w:cs="仿宋"/>
              <w:bCs/>
              <w:sz w:val="28"/>
              <w:szCs w:val="28"/>
            </w:rPr>
            <w:fldChar w:fldCharType="separate"/>
          </w:r>
          <w:r>
            <w:rPr>
              <w:rFonts w:hint="eastAsia" w:ascii="仿宋" w:hAnsi="仿宋" w:eastAsia="仿宋" w:cs="仿宋"/>
              <w:sz w:val="28"/>
              <w:szCs w:val="28"/>
              <w:lang w:bidi="ar"/>
            </w:rPr>
            <w:t>4.坚持集聚发展，优化空间布局</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7</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_Toc22195 </w:instrText>
          </w:r>
          <w:r>
            <w:rPr>
              <w:rFonts w:hint="eastAsia" w:ascii="仿宋" w:hAnsi="仿宋" w:eastAsia="仿宋" w:cs="仿宋"/>
              <w:bCs/>
              <w:sz w:val="28"/>
              <w:szCs w:val="28"/>
            </w:rPr>
            <w:fldChar w:fldCharType="separate"/>
          </w:r>
          <w:r>
            <w:rPr>
              <w:rFonts w:hint="eastAsia" w:ascii="仿宋" w:hAnsi="仿宋" w:eastAsia="仿宋" w:cs="仿宋"/>
              <w:sz w:val="28"/>
              <w:szCs w:val="28"/>
              <w:lang w:bidi="ar"/>
            </w:rPr>
            <w:t>5.坚持开放发展，深化区域合作</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7</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_Toc18341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（三）发展目标</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7</w:t>
          </w:r>
        </w:p>
        <w:p>
          <w:pPr>
            <w:pStyle w:val="14"/>
            <w:tabs>
              <w:tab w:val="right" w:leader="dot" w:pos="8306"/>
            </w:tabs>
            <w:rPr>
              <w:rFonts w:hint="eastAsia" w:ascii="黑体" w:hAnsi="黑体" w:eastAsia="黑体" w:cs="黑体"/>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_Toc28352 </w:instrText>
          </w:r>
          <w:r>
            <w:rPr>
              <w:rFonts w:hint="eastAsia" w:ascii="黑体" w:hAnsi="黑体" w:eastAsia="黑体" w:cs="黑体"/>
              <w:bCs/>
              <w:sz w:val="28"/>
              <w:szCs w:val="28"/>
            </w:rPr>
            <w:fldChar w:fldCharType="separate"/>
          </w:r>
          <w:r>
            <w:rPr>
              <w:rFonts w:hint="eastAsia" w:ascii="黑体" w:hAnsi="黑体" w:eastAsia="黑体" w:cs="黑体"/>
              <w:sz w:val="28"/>
              <w:szCs w:val="28"/>
            </w:rPr>
            <w:t>七、产业体系</w:t>
          </w:r>
          <w:r>
            <w:rPr>
              <w:rFonts w:hint="eastAsia" w:ascii="黑体" w:hAnsi="黑体" w:eastAsia="黑体" w:cs="黑体"/>
              <w:sz w:val="28"/>
              <w:szCs w:val="28"/>
            </w:rPr>
            <w:tab/>
          </w:r>
          <w:r>
            <w:rPr>
              <w:rFonts w:hint="eastAsia" w:ascii="黑体" w:hAnsi="黑体" w:cs="黑体"/>
              <w:sz w:val="28"/>
              <w:szCs w:val="28"/>
              <w:lang w:val="en-US" w:eastAsia="zh-CN"/>
            </w:rPr>
            <w:t>1</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8</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_Toc20045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（一）突破发展三大支柱型服务业</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9</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_Toc10494 </w:instrText>
          </w:r>
          <w:r>
            <w:rPr>
              <w:rFonts w:hint="eastAsia" w:ascii="仿宋" w:hAnsi="仿宋" w:eastAsia="仿宋" w:cs="仿宋"/>
              <w:bCs/>
              <w:sz w:val="28"/>
              <w:szCs w:val="28"/>
            </w:rPr>
            <w:fldChar w:fldCharType="separate"/>
          </w:r>
          <w:r>
            <w:rPr>
              <w:rFonts w:hint="eastAsia" w:ascii="仿宋" w:hAnsi="仿宋" w:eastAsia="仿宋" w:cs="仿宋"/>
              <w:sz w:val="28"/>
              <w:szCs w:val="28"/>
            </w:rPr>
            <w:t>1.文化旅游</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9</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_Toc1297 </w:instrText>
          </w:r>
          <w:r>
            <w:rPr>
              <w:rFonts w:hint="eastAsia" w:ascii="仿宋" w:hAnsi="仿宋" w:eastAsia="仿宋" w:cs="仿宋"/>
              <w:bCs/>
              <w:sz w:val="28"/>
              <w:szCs w:val="28"/>
            </w:rPr>
            <w:fldChar w:fldCharType="separate"/>
          </w:r>
          <w:r>
            <w:rPr>
              <w:rFonts w:hint="eastAsia" w:ascii="仿宋" w:hAnsi="仿宋" w:eastAsia="仿宋" w:cs="仿宋"/>
              <w:sz w:val="28"/>
              <w:szCs w:val="28"/>
            </w:rPr>
            <w:t>2.商业贸易</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0</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_Toc25554 </w:instrText>
          </w:r>
          <w:r>
            <w:rPr>
              <w:rFonts w:hint="eastAsia" w:ascii="仿宋" w:hAnsi="仿宋" w:eastAsia="仿宋" w:cs="仿宋"/>
              <w:bCs/>
              <w:sz w:val="28"/>
              <w:szCs w:val="28"/>
            </w:rPr>
            <w:fldChar w:fldCharType="separate"/>
          </w:r>
          <w:r>
            <w:rPr>
              <w:rFonts w:hint="eastAsia" w:ascii="仿宋" w:hAnsi="仿宋" w:eastAsia="仿宋" w:cs="仿宋"/>
              <w:sz w:val="28"/>
              <w:szCs w:val="28"/>
            </w:rPr>
            <w:t>3.现代物流</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_Toc2128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（二）加快发展三大成长型服务业</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8</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_Toc19335 </w:instrText>
          </w:r>
          <w:r>
            <w:rPr>
              <w:rFonts w:hint="eastAsia" w:ascii="仿宋" w:hAnsi="仿宋" w:eastAsia="仿宋" w:cs="仿宋"/>
              <w:bCs/>
              <w:sz w:val="28"/>
              <w:szCs w:val="28"/>
            </w:rPr>
            <w:fldChar w:fldCharType="separate"/>
          </w:r>
          <w:r>
            <w:rPr>
              <w:rFonts w:hint="eastAsia" w:ascii="仿宋" w:hAnsi="仿宋" w:eastAsia="仿宋" w:cs="仿宋"/>
              <w:sz w:val="28"/>
              <w:szCs w:val="28"/>
            </w:rPr>
            <w:t>1.森林康养</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8</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_Toc22272 </w:instrText>
          </w:r>
          <w:r>
            <w:rPr>
              <w:rFonts w:hint="eastAsia" w:ascii="仿宋" w:hAnsi="仿宋" w:eastAsia="仿宋" w:cs="仿宋"/>
              <w:bCs/>
              <w:sz w:val="28"/>
              <w:szCs w:val="28"/>
            </w:rPr>
            <w:fldChar w:fldCharType="separate"/>
          </w:r>
          <w:r>
            <w:rPr>
              <w:rFonts w:hint="eastAsia" w:ascii="仿宋" w:hAnsi="仿宋" w:eastAsia="仿宋" w:cs="仿宋"/>
              <w:sz w:val="28"/>
              <w:szCs w:val="28"/>
            </w:rPr>
            <w:t>2.电子商务</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_Toc16294 </w:instrText>
          </w:r>
          <w:r>
            <w:rPr>
              <w:rFonts w:hint="eastAsia" w:ascii="仿宋" w:hAnsi="仿宋" w:eastAsia="仿宋" w:cs="仿宋"/>
              <w:bCs/>
              <w:sz w:val="28"/>
              <w:szCs w:val="28"/>
            </w:rPr>
            <w:fldChar w:fldCharType="separate"/>
          </w:r>
          <w:r>
            <w:rPr>
              <w:rFonts w:hint="eastAsia" w:ascii="仿宋" w:hAnsi="仿宋" w:eastAsia="仿宋" w:cs="仿宋"/>
              <w:sz w:val="28"/>
              <w:szCs w:val="28"/>
            </w:rPr>
            <w:t>3.特色餐饮</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8</w:t>
          </w:r>
        </w:p>
        <w:p>
          <w:pPr>
            <w:pStyle w:val="14"/>
            <w:tabs>
              <w:tab w:val="right" w:leader="dot" w:pos="8306"/>
            </w:tabs>
            <w:rPr>
              <w:rFonts w:hint="eastAsia" w:ascii="仿宋" w:hAnsi="仿宋" w:eastAsia="黑体" w:cs="仿宋"/>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_Toc1331 </w:instrText>
          </w:r>
          <w:r>
            <w:rPr>
              <w:rFonts w:hint="eastAsia" w:ascii="黑体" w:hAnsi="黑体" w:eastAsia="黑体" w:cs="黑体"/>
              <w:bCs/>
              <w:sz w:val="28"/>
              <w:szCs w:val="28"/>
            </w:rPr>
            <w:fldChar w:fldCharType="separate"/>
          </w:r>
          <w:r>
            <w:rPr>
              <w:rFonts w:hint="eastAsia" w:ascii="黑体" w:hAnsi="黑体" w:eastAsia="黑体" w:cs="黑体"/>
              <w:sz w:val="28"/>
              <w:szCs w:val="28"/>
            </w:rPr>
            <w:t>八、空间布局</w:t>
          </w:r>
          <w:r>
            <w:rPr>
              <w:rFonts w:hint="eastAsia" w:ascii="黑体" w:hAnsi="黑体" w:eastAsia="黑体" w:cs="黑体"/>
              <w:sz w:val="28"/>
              <w:szCs w:val="28"/>
            </w:rPr>
            <w:tab/>
          </w:r>
          <w:r>
            <w:rPr>
              <w:rFonts w:hint="eastAsia" w:ascii="黑体" w:hAnsi="黑体" w:cs="黑体"/>
              <w:sz w:val="28"/>
              <w:szCs w:val="28"/>
              <w:lang w:val="en-US" w:eastAsia="zh-CN"/>
            </w:rPr>
            <w:t>5</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2</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_Toc5120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（一）一城引领发展</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2</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_Toc28525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（二）四镇特色联动</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_Toc4889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（三）两廊拓展开放</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_Toc24046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（四）重点乡镇（街道）发展指引</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_Toc5332 </w:instrText>
          </w:r>
          <w:r>
            <w:rPr>
              <w:rFonts w:hint="eastAsia" w:ascii="仿宋" w:hAnsi="仿宋" w:eastAsia="仿宋" w:cs="仿宋"/>
              <w:bCs/>
              <w:sz w:val="28"/>
              <w:szCs w:val="28"/>
            </w:rPr>
            <w:fldChar w:fldCharType="separate"/>
          </w:r>
          <w:r>
            <w:rPr>
              <w:rFonts w:hint="eastAsia" w:ascii="仿宋" w:hAnsi="仿宋" w:eastAsia="仿宋" w:cs="仿宋"/>
              <w:sz w:val="28"/>
              <w:szCs w:val="28"/>
            </w:rPr>
            <w:t>1.严道街道</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_Toc16167 </w:instrText>
          </w:r>
          <w:r>
            <w:rPr>
              <w:rFonts w:hint="eastAsia" w:ascii="仿宋" w:hAnsi="仿宋" w:eastAsia="仿宋" w:cs="仿宋"/>
              <w:bCs/>
              <w:sz w:val="28"/>
              <w:szCs w:val="28"/>
            </w:rPr>
            <w:fldChar w:fldCharType="separate"/>
          </w:r>
          <w:r>
            <w:rPr>
              <w:rFonts w:hint="eastAsia" w:ascii="仿宋" w:hAnsi="仿宋" w:eastAsia="仿宋" w:cs="仿宋"/>
              <w:sz w:val="28"/>
              <w:szCs w:val="28"/>
            </w:rPr>
            <w:t>2.龙苍沟镇</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8</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_Toc21388 </w:instrText>
          </w:r>
          <w:r>
            <w:rPr>
              <w:rFonts w:hint="eastAsia" w:ascii="仿宋" w:hAnsi="仿宋" w:eastAsia="仿宋" w:cs="仿宋"/>
              <w:bCs/>
              <w:sz w:val="28"/>
              <w:szCs w:val="28"/>
            </w:rPr>
            <w:fldChar w:fldCharType="separate"/>
          </w:r>
          <w:r>
            <w:rPr>
              <w:rFonts w:hint="eastAsia" w:ascii="仿宋" w:hAnsi="仿宋" w:eastAsia="仿宋" w:cs="仿宋"/>
              <w:sz w:val="28"/>
              <w:szCs w:val="28"/>
            </w:rPr>
            <w:t>3.牛背山镇</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2</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_Toc6893 </w:instrText>
          </w:r>
          <w:r>
            <w:rPr>
              <w:rFonts w:hint="eastAsia" w:ascii="仿宋" w:hAnsi="仿宋" w:eastAsia="仿宋" w:cs="仿宋"/>
              <w:bCs/>
              <w:sz w:val="28"/>
              <w:szCs w:val="28"/>
            </w:rPr>
            <w:fldChar w:fldCharType="separate"/>
          </w:r>
          <w:r>
            <w:rPr>
              <w:rFonts w:hint="eastAsia" w:ascii="仿宋" w:hAnsi="仿宋" w:eastAsia="仿宋" w:cs="仿宋"/>
              <w:sz w:val="28"/>
              <w:szCs w:val="28"/>
            </w:rPr>
            <w:t>4.新添镇</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pStyle w:val="10"/>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_Toc15113 </w:instrText>
          </w:r>
          <w:r>
            <w:rPr>
              <w:rFonts w:hint="eastAsia" w:ascii="仿宋" w:hAnsi="仿宋" w:eastAsia="仿宋" w:cs="仿宋"/>
              <w:bCs/>
              <w:sz w:val="28"/>
              <w:szCs w:val="28"/>
            </w:rPr>
            <w:fldChar w:fldCharType="separate"/>
          </w:r>
          <w:r>
            <w:rPr>
              <w:rFonts w:hint="eastAsia" w:ascii="仿宋" w:hAnsi="仿宋" w:eastAsia="仿宋" w:cs="仿宋"/>
              <w:sz w:val="28"/>
              <w:szCs w:val="28"/>
            </w:rPr>
            <w:t>5.花滩镇</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5</w:t>
          </w:r>
        </w:p>
        <w:p>
          <w:pPr>
            <w:pStyle w:val="14"/>
            <w:tabs>
              <w:tab w:val="right" w:leader="dot" w:pos="8306"/>
            </w:tabs>
            <w:rPr>
              <w:rFonts w:hint="eastAsia" w:ascii="黑体" w:hAnsi="黑体" w:eastAsia="黑体" w:cs="黑体"/>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_Toc11303 </w:instrText>
          </w:r>
          <w:r>
            <w:rPr>
              <w:rFonts w:hint="eastAsia" w:ascii="黑体" w:hAnsi="黑体" w:eastAsia="黑体" w:cs="黑体"/>
              <w:bCs/>
              <w:sz w:val="28"/>
              <w:szCs w:val="28"/>
            </w:rPr>
            <w:fldChar w:fldCharType="separate"/>
          </w:r>
          <w:r>
            <w:rPr>
              <w:rFonts w:hint="eastAsia" w:ascii="黑体" w:hAnsi="黑体" w:eastAsia="黑体" w:cs="黑体"/>
              <w:sz w:val="28"/>
              <w:szCs w:val="28"/>
            </w:rPr>
            <w:t>九、行动计划</w:t>
          </w:r>
          <w:r>
            <w:rPr>
              <w:rFonts w:hint="eastAsia" w:ascii="黑体" w:hAnsi="黑体" w:eastAsia="黑体" w:cs="黑体"/>
              <w:sz w:val="28"/>
              <w:szCs w:val="28"/>
            </w:rPr>
            <w:tab/>
          </w:r>
          <w:r>
            <w:rPr>
              <w:rFonts w:hint="eastAsia" w:ascii="黑体" w:hAnsi="黑体" w:cs="黑体"/>
              <w:sz w:val="28"/>
              <w:szCs w:val="28"/>
              <w:lang w:val="en-US" w:eastAsia="zh-CN"/>
            </w:rPr>
            <w:t>6</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5</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_Toc2024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（一）消费促升级行动</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5</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_Toc15625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（二）重点企业培育行动</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6</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_Toc875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（三）产业融合发展行动</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7</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_Toc545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（四）服务业集聚区培育行动</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9</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_Toc18142 </w:instrText>
          </w:r>
          <w:r>
            <w:rPr>
              <w:rFonts w:hint="eastAsia" w:ascii="仿宋" w:hAnsi="仿宋" w:eastAsia="仿宋" w:cs="仿宋"/>
              <w:bCs/>
              <w:sz w:val="28"/>
              <w:szCs w:val="28"/>
            </w:rPr>
            <w:fldChar w:fldCharType="separate"/>
          </w:r>
          <w:r>
            <w:rPr>
              <w:rFonts w:hint="eastAsia" w:ascii="仿宋" w:hAnsi="仿宋" w:eastAsia="仿宋" w:cs="仿宋"/>
              <w:sz w:val="28"/>
              <w:szCs w:val="28"/>
            </w:rPr>
            <w:t>（五）服务业品牌打造行动</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1</w:t>
          </w:r>
        </w:p>
        <w:p>
          <w:pPr>
            <w:pStyle w:val="14"/>
            <w:tabs>
              <w:tab w:val="right" w:leader="dot" w:pos="8306"/>
            </w:tabs>
            <w:rPr>
              <w:rFonts w:hint="eastAsia" w:ascii="仿宋" w:hAnsi="仿宋" w:eastAsia="黑体" w:cs="仿宋"/>
              <w:sz w:val="28"/>
              <w:szCs w:val="28"/>
              <w:lang w:val="en-US" w:eastAsia="zh-CN"/>
            </w:rPr>
          </w:pPr>
          <w:r>
            <w:rPr>
              <w:rFonts w:hint="eastAsia" w:ascii="黑体" w:hAnsi="黑体" w:eastAsia="黑体" w:cs="黑体"/>
              <w:bCs/>
              <w:sz w:val="28"/>
              <w:szCs w:val="28"/>
            </w:rPr>
            <w:fldChar w:fldCharType="begin"/>
          </w:r>
          <w:r>
            <w:rPr>
              <w:rFonts w:hint="eastAsia" w:ascii="黑体" w:hAnsi="黑体" w:eastAsia="黑体" w:cs="黑体"/>
              <w:bCs/>
              <w:sz w:val="28"/>
              <w:szCs w:val="28"/>
            </w:rPr>
            <w:instrText xml:space="preserve"> HYPERLINK \l _Toc21176 </w:instrText>
          </w:r>
          <w:r>
            <w:rPr>
              <w:rFonts w:hint="eastAsia" w:ascii="黑体" w:hAnsi="黑体" w:eastAsia="黑体" w:cs="黑体"/>
              <w:bCs/>
              <w:sz w:val="28"/>
              <w:szCs w:val="28"/>
            </w:rPr>
            <w:fldChar w:fldCharType="separate"/>
          </w:r>
          <w:r>
            <w:rPr>
              <w:rFonts w:hint="eastAsia" w:ascii="黑体" w:hAnsi="黑体" w:eastAsia="黑体" w:cs="黑体"/>
              <w:sz w:val="28"/>
              <w:szCs w:val="28"/>
            </w:rPr>
            <w:t>十、保障措施</w:t>
          </w:r>
          <w:r>
            <w:rPr>
              <w:rFonts w:hint="eastAsia" w:ascii="黑体" w:hAnsi="黑体" w:eastAsia="黑体" w:cs="黑体"/>
              <w:sz w:val="28"/>
              <w:szCs w:val="28"/>
            </w:rPr>
            <w:tab/>
          </w:r>
          <w:r>
            <w:rPr>
              <w:rFonts w:hint="eastAsia" w:ascii="黑体" w:hAnsi="黑体" w:cs="黑体"/>
              <w:sz w:val="28"/>
              <w:szCs w:val="28"/>
              <w:lang w:val="en-US" w:eastAsia="zh-CN"/>
            </w:rPr>
            <w:t>7</w:t>
          </w:r>
          <w:r>
            <w:rPr>
              <w:rFonts w:hint="eastAsia" w:ascii="黑体" w:hAnsi="黑体" w:eastAsia="黑体" w:cs="黑体"/>
              <w:bCs/>
              <w:sz w:val="28"/>
              <w:szCs w:val="28"/>
            </w:rPr>
            <w:fldChar w:fldCharType="end"/>
          </w:r>
          <w:r>
            <w:rPr>
              <w:rFonts w:hint="eastAsia" w:ascii="黑体" w:hAnsi="黑体" w:cs="黑体"/>
              <w:bCs/>
              <w:sz w:val="28"/>
              <w:szCs w:val="28"/>
              <w:lang w:val="en-US" w:eastAsia="zh-CN"/>
            </w:rPr>
            <w:t>2</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_Toc2791 </w:instrText>
          </w:r>
          <w:r>
            <w:rPr>
              <w:rFonts w:hint="eastAsia" w:ascii="仿宋" w:hAnsi="仿宋" w:eastAsia="仿宋" w:cs="仿宋"/>
              <w:bCs/>
              <w:sz w:val="28"/>
              <w:szCs w:val="28"/>
            </w:rPr>
            <w:fldChar w:fldCharType="separate"/>
          </w:r>
          <w:r>
            <w:rPr>
              <w:rFonts w:hint="eastAsia" w:ascii="仿宋" w:hAnsi="仿宋" w:eastAsia="仿宋" w:cs="仿宋"/>
              <w:sz w:val="28"/>
              <w:szCs w:val="28"/>
            </w:rPr>
            <w:t>（一）强化组织实施</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_Toc20825 </w:instrText>
          </w:r>
          <w:r>
            <w:rPr>
              <w:rFonts w:hint="eastAsia" w:ascii="仿宋" w:hAnsi="仿宋" w:eastAsia="仿宋" w:cs="仿宋"/>
              <w:bCs/>
              <w:sz w:val="28"/>
              <w:szCs w:val="28"/>
            </w:rPr>
            <w:fldChar w:fldCharType="separate"/>
          </w:r>
          <w:r>
            <w:rPr>
              <w:rFonts w:hint="eastAsia" w:ascii="仿宋" w:hAnsi="仿宋" w:eastAsia="仿宋" w:cs="仿宋"/>
              <w:sz w:val="28"/>
              <w:szCs w:val="28"/>
            </w:rPr>
            <w:t>（二）加强要素保障</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_Toc27252 </w:instrText>
          </w:r>
          <w:r>
            <w:rPr>
              <w:rFonts w:hint="eastAsia" w:ascii="仿宋" w:hAnsi="仿宋" w:eastAsia="仿宋" w:cs="仿宋"/>
              <w:bCs/>
              <w:sz w:val="28"/>
              <w:szCs w:val="28"/>
            </w:rPr>
            <w:fldChar w:fldCharType="separate"/>
          </w:r>
          <w:r>
            <w:rPr>
              <w:rFonts w:hint="eastAsia" w:ascii="仿宋" w:hAnsi="仿宋" w:eastAsia="仿宋" w:cs="仿宋"/>
              <w:sz w:val="28"/>
              <w:szCs w:val="28"/>
            </w:rPr>
            <w:t>（三）完善统计监测</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3</w:t>
          </w:r>
        </w:p>
        <w:p>
          <w:pPr>
            <w:pStyle w:val="16"/>
            <w:tabs>
              <w:tab w:val="right" w:leader="dot" w:pos="8306"/>
            </w:tabs>
            <w:rPr>
              <w:rFonts w:hint="eastAsia" w:ascii="仿宋" w:hAnsi="仿宋" w:eastAsia="仿宋" w:cs="仿宋"/>
              <w:sz w:val="28"/>
              <w:szCs w:val="28"/>
              <w:lang w:val="en-US" w:eastAsia="zh-CN"/>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_Toc28032 </w:instrText>
          </w:r>
          <w:r>
            <w:rPr>
              <w:rFonts w:hint="eastAsia" w:ascii="仿宋" w:hAnsi="仿宋" w:eastAsia="仿宋" w:cs="仿宋"/>
              <w:bCs/>
              <w:sz w:val="28"/>
              <w:szCs w:val="28"/>
            </w:rPr>
            <w:fldChar w:fldCharType="separate"/>
          </w:r>
          <w:r>
            <w:rPr>
              <w:rFonts w:hint="eastAsia" w:ascii="仿宋" w:hAnsi="仿宋" w:eastAsia="仿宋" w:cs="仿宋"/>
              <w:sz w:val="28"/>
              <w:szCs w:val="28"/>
            </w:rPr>
            <w:t>（四）优化发展环境</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bCs/>
              <w:sz w:val="28"/>
              <w:szCs w:val="28"/>
            </w:rPr>
            <w:fldChar w:fldCharType="end"/>
          </w:r>
          <w:r>
            <w:rPr>
              <w:rFonts w:hint="eastAsia" w:ascii="仿宋" w:hAnsi="仿宋" w:eastAsia="仿宋" w:cs="仿宋"/>
              <w:bCs/>
              <w:sz w:val="28"/>
              <w:szCs w:val="28"/>
              <w:lang w:val="en-US" w:eastAsia="zh-CN"/>
            </w:rPr>
            <w:t>4</w:t>
          </w:r>
        </w:p>
        <w:p>
          <w:pPr>
            <w:spacing w:line="360" w:lineRule="auto"/>
            <w:ind w:firstLine="0" w:firstLineChars="0"/>
            <w:contextualSpacing/>
            <w:jc w:val="center"/>
            <w:rPr>
              <w:rFonts w:hint="eastAsia" w:ascii="Times New Roman" w:hAnsi="Times New Roman" w:cs="Times New Roman"/>
              <w:lang w:val="en-US" w:eastAsia="zh-CN"/>
            </w:rPr>
          </w:pPr>
          <w:r>
            <w:rPr>
              <w:rFonts w:hint="eastAsia" w:ascii="仿宋" w:hAnsi="仿宋" w:eastAsia="仿宋" w:cs="仿宋"/>
              <w:bCs/>
              <w:sz w:val="28"/>
              <w:szCs w:val="28"/>
            </w:rPr>
            <w:fldChar w:fldCharType="end"/>
          </w:r>
          <w:bookmarkStart w:id="0" w:name="_Toc3323"/>
          <w:bookmarkStart w:id="1" w:name="_Toc10273"/>
          <w:bookmarkStart w:id="2" w:name="_Toc9338"/>
        </w:p>
      </w:sdtContent>
    </w:sdt>
    <w:p>
      <w:pPr>
        <w:spacing w:line="360" w:lineRule="auto"/>
        <w:ind w:firstLine="640" w:firstLineChars="200"/>
        <w:contextualSpacing/>
        <w:jc w:val="both"/>
        <w:rPr>
          <w:rFonts w:ascii="Times New Roman" w:hAnsi="Times New Roman" w:cs="Times New Roma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规划总则</w:t>
      </w:r>
      <w:bookmarkEnd w:id="0"/>
      <w:bookmarkEnd w:id="1"/>
      <w:bookmarkEnd w:id="2"/>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cs="Times New Roman"/>
        </w:rPr>
      </w:pPr>
      <w:bookmarkStart w:id="3" w:name="_Toc21213"/>
      <w:bookmarkStart w:id="4" w:name="_Toc16184"/>
      <w:bookmarkStart w:id="5" w:name="_Toc10319"/>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lang w:val="en-US" w:eastAsia="zh-CN"/>
        </w:rPr>
        <w:t>一</w:t>
      </w:r>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rPr>
        <w:t>规划目的</w:t>
      </w:r>
      <w:bookmarkEnd w:id="3"/>
      <w:bookmarkEnd w:id="4"/>
      <w:bookmarkEnd w:id="5"/>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rPr>
        <w:t>“十三五”期间荥经县服务业规模不断壮大，已成为全县支柱型产业，对全县的经济贡献明显增强。随着全国、全省、全市发展形势的不断变化，荥经县服务业迎来新的发展机遇，同时也面临着新形势对荥经县服务业发展提出的新要求和新挑战</w:t>
      </w:r>
      <w:r>
        <w:rPr>
          <w:rFonts w:cs="Times New Roman"/>
          <w:lang w:eastAsia="zh-Hans"/>
        </w:rPr>
        <w:t>。</w:t>
      </w:r>
      <w:r>
        <w:rPr>
          <w:rFonts w:cs="Times New Roman"/>
        </w:rPr>
        <w:t>为推动发展机遇转化为发展动能，促进资源优势转化为产业优势，明确“十</w:t>
      </w:r>
      <w:r>
        <w:rPr>
          <w:rFonts w:hint="eastAsia" w:cs="Times New Roman"/>
          <w:lang w:val="en-US" w:eastAsia="zh-CN"/>
        </w:rPr>
        <w:t>四</w:t>
      </w:r>
      <w:r>
        <w:rPr>
          <w:rFonts w:cs="Times New Roman"/>
        </w:rPr>
        <w:t>五”期间</w:t>
      </w:r>
      <w:r>
        <w:rPr>
          <w:rFonts w:hint="eastAsia" w:cs="Times New Roman"/>
          <w:lang w:val="en-US" w:eastAsia="zh-CN"/>
        </w:rPr>
        <w:t>荥经县服务业</w:t>
      </w:r>
      <w:r>
        <w:rPr>
          <w:rFonts w:cs="Times New Roman"/>
        </w:rPr>
        <w:t>发展方向和重点</w:t>
      </w:r>
      <w:r>
        <w:rPr>
          <w:rFonts w:hint="eastAsia" w:cs="Times New Roman"/>
          <w:lang w:val="en-US" w:eastAsia="zh-CN"/>
        </w:rPr>
        <w:t>任务</w:t>
      </w:r>
      <w:r>
        <w:rPr>
          <w:rFonts w:cs="Times New Roman"/>
        </w:rPr>
        <w:t>，实现</w:t>
      </w:r>
      <w:r>
        <w:rPr>
          <w:rFonts w:hint="eastAsia" w:cs="Times New Roman"/>
          <w:lang w:val="en-US" w:eastAsia="zh-CN"/>
        </w:rPr>
        <w:t>全县</w:t>
      </w:r>
      <w:r>
        <w:rPr>
          <w:rFonts w:cs="Times New Roman"/>
        </w:rPr>
        <w:t>服务业</w:t>
      </w:r>
      <w:r>
        <w:rPr>
          <w:rFonts w:cs="Times New Roman"/>
          <w:lang w:eastAsia="zh-Hans"/>
        </w:rPr>
        <w:t>高质量跨越</w:t>
      </w:r>
      <w:r>
        <w:rPr>
          <w:rFonts w:cs="Times New Roman"/>
        </w:rPr>
        <w:t>发展，为</w:t>
      </w:r>
      <w:r>
        <w:rPr>
          <w:rFonts w:hint="eastAsia" w:cs="Times New Roman"/>
        </w:rPr>
        <w:t>建成“中国黑砂城、‘两山’示范区”</w:t>
      </w:r>
      <w:r>
        <w:rPr>
          <w:rFonts w:cs="Times New Roman"/>
        </w:rPr>
        <w:t>提供有力支撑，特编制《荥经县“十四五”服务业发展规划》。</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楷体_GB2312" w:hAnsi="楷体_GB2312" w:eastAsia="楷体_GB2312" w:cs="楷体_GB2312"/>
          <w:b/>
          <w:bCs w:val="0"/>
          <w:lang w:eastAsia="zh-CN"/>
        </w:rPr>
      </w:pPr>
      <w:bookmarkStart w:id="6" w:name="_Toc19479"/>
      <w:bookmarkStart w:id="7" w:name="_Toc12047"/>
      <w:bookmarkStart w:id="8" w:name="_Toc20344"/>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lang w:val="en-US" w:eastAsia="zh-CN"/>
        </w:rPr>
        <w:t>二</w:t>
      </w:r>
      <w:r>
        <w:rPr>
          <w:rFonts w:hint="eastAsia" w:ascii="楷体_GB2312" w:hAnsi="楷体_GB2312" w:eastAsia="楷体_GB2312" w:cs="楷体_GB2312"/>
          <w:b/>
          <w:bCs w:val="0"/>
          <w:lang w:eastAsia="zh-CN"/>
        </w:rPr>
        <w:t>）规划范围</w:t>
      </w:r>
      <w:bookmarkEnd w:id="6"/>
      <w:bookmarkEnd w:id="7"/>
      <w:bookmarkEnd w:id="8"/>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荥经县全域，总面积1781平方公里，涉及1个街道办、7个镇、4个乡。</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楷体_GB2312" w:hAnsi="楷体_GB2312" w:eastAsia="楷体_GB2312" w:cs="楷体_GB2312"/>
          <w:b/>
          <w:bCs w:val="0"/>
          <w:lang w:eastAsia="zh-CN"/>
        </w:rPr>
      </w:pPr>
      <w:bookmarkStart w:id="9" w:name="_Toc15105"/>
      <w:bookmarkStart w:id="10" w:name="_Toc24399"/>
      <w:bookmarkStart w:id="11" w:name="_Toc23995"/>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lang w:val="en-US" w:eastAsia="zh-CN"/>
        </w:rPr>
        <w:t>三</w:t>
      </w:r>
      <w:r>
        <w:rPr>
          <w:rFonts w:hint="eastAsia" w:ascii="楷体_GB2312" w:hAnsi="楷体_GB2312" w:eastAsia="楷体_GB2312" w:cs="楷体_GB2312"/>
          <w:b/>
          <w:bCs w:val="0"/>
          <w:lang w:eastAsia="zh-CN"/>
        </w:rPr>
        <w:t>）规划时限</w:t>
      </w:r>
      <w:bookmarkEnd w:id="9"/>
      <w:bookmarkEnd w:id="10"/>
      <w:bookmarkEnd w:id="11"/>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规划时限为2021-2025年。</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cs="Times New Roman"/>
        </w:rPr>
      </w:pPr>
      <w:bookmarkStart w:id="12" w:name="_Toc27267"/>
      <w:bookmarkStart w:id="13" w:name="_Toc29113"/>
      <w:bookmarkStart w:id="14" w:name="_Toc22277"/>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lang w:val="en-US" w:eastAsia="zh-CN"/>
        </w:rPr>
        <w:t>四</w:t>
      </w:r>
      <w:r>
        <w:rPr>
          <w:rFonts w:hint="eastAsia" w:ascii="楷体_GB2312" w:hAnsi="楷体_GB2312" w:eastAsia="楷体_GB2312" w:cs="楷体_GB2312"/>
          <w:b/>
          <w:bCs w:val="0"/>
          <w:lang w:eastAsia="zh-CN"/>
        </w:rPr>
        <w:t>）规划依据</w:t>
      </w:r>
      <w:bookmarkEnd w:id="12"/>
      <w:bookmarkEnd w:id="13"/>
      <w:bookmarkEnd w:id="14"/>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《中华人民共和国国民经济和社会发展第十四个五年规划和2035年远景目标纲要》；</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《关于新时代服务业高质量发展的指导意见》（发改产业〔2019〕1602号）；</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《中共中央国务院关于推进贸易高质量发展的指导意见》（2019年11月19日）；</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《推动物流高质量发展促进形成强大国内市场的意见》（发改经贸〔2019〕352号）；</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《国务院办公厅关于加快发展流通促进商业消费的意见》（国办发〔2019〕42号）；</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《乡村振兴战略规划（2018－2022年）》；</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《中共中央国务院关于新时代推进西部大开发形成新格局的指导意见》（2020年5月17日）；</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《西部陆海新通道总体规划2019-2025》；</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《四川省国民经济和社会发展第十四个五年规划和二〇三五年远景目标纲要》；</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《中共四川省委关于全面推动高质量发展的决定》（2018年6月30日）；</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《关于加快构建“4+6”现代服务业体系推动服务业高质量发展的意见》（川委发〔2020〕10号）；</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szCs w:val="32"/>
        </w:rPr>
        <w:t>《雅安市国民经济和社会发展第十四个五年规划和二〇三五年远景目标纲要》；</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lang w:eastAsia="zh-Hans"/>
        </w:rPr>
      </w:pPr>
      <w:r>
        <w:rPr>
          <w:rFonts w:hint="eastAsia" w:ascii="仿宋_GB2312" w:hAnsi="仿宋_GB2312" w:eastAsia="仿宋_GB2312" w:cs="仿宋_GB2312"/>
          <w:lang w:eastAsia="zh-Hans"/>
        </w:rPr>
        <w:t>《雅安市“十四五”服务业发展规划》</w:t>
      </w:r>
      <w:r>
        <w:rPr>
          <w:rFonts w:hint="eastAsia" w:ascii="仿宋_GB2312" w:hAnsi="仿宋_GB2312" w:eastAsia="仿宋_GB2312" w:cs="仿宋_GB2312"/>
        </w:rPr>
        <w:t>；</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lang w:eastAsia="zh-Hans"/>
        </w:rPr>
      </w:pPr>
      <w:r>
        <w:rPr>
          <w:rFonts w:hint="eastAsia" w:ascii="仿宋_GB2312" w:hAnsi="仿宋_GB2312" w:eastAsia="仿宋_GB2312" w:cs="仿宋_GB2312"/>
          <w:lang w:eastAsia="zh-Hans"/>
        </w:rPr>
        <w:t>《雅安市人民政府关于加快构建“4+6”现代服务业体系推动服务业高质量发展的实施意见》（雅委发〔2020〕8号）</w:t>
      </w:r>
      <w:r>
        <w:rPr>
          <w:rFonts w:hint="eastAsia" w:ascii="仿宋_GB2312" w:hAnsi="仿宋_GB2312" w:eastAsia="仿宋_GB2312" w:cs="仿宋_GB2312"/>
        </w:rPr>
        <w:t>；</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lang w:eastAsia="zh-Hans"/>
        </w:rPr>
      </w:pPr>
      <w:r>
        <w:rPr>
          <w:rFonts w:hint="eastAsia" w:ascii="仿宋_GB2312" w:hAnsi="仿宋_GB2312" w:eastAsia="仿宋_GB2312" w:cs="仿宋_GB2312"/>
          <w:lang w:eastAsia="zh-Hans"/>
        </w:rPr>
        <w:t>《中共雅安市委关于深入贯彻省委十一届七次全会精神积极投入成渝地区双城经济圈建设的决定》（雅委发〔2020〕9号）</w:t>
      </w:r>
      <w:r>
        <w:rPr>
          <w:rFonts w:hint="eastAsia" w:ascii="仿宋_GB2312" w:hAnsi="仿宋_GB2312" w:eastAsia="仿宋_GB2312" w:cs="仿宋_GB2312"/>
        </w:rPr>
        <w:t>；</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Hans"/>
        </w:rPr>
        <w:t>《雅安市人民政府关于加快构建现代农业“5+3”产业体系推进特色优势产业高质量发展的实施意见》（雅委发〔2020〕5号）</w:t>
      </w:r>
      <w:r>
        <w:rPr>
          <w:rFonts w:hint="eastAsia" w:ascii="仿宋_GB2312" w:hAnsi="仿宋_GB2312" w:eastAsia="仿宋_GB2312" w:cs="仿宋_GB2312"/>
        </w:rPr>
        <w:t>；</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szCs w:val="32"/>
        </w:rPr>
        <w:t>《荥经县国民经济和社会发展第十四个五年规划和二〇三五年远景目标纲要》；</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《中共荥经县委关于深入贯彻省委十一届七次全会和市委四届八次全会精神积极投入成渝地区双城经济圈建设的决定》（荥委〔2020〕151号）；</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《中共荥经县委</w:t>
      </w:r>
      <w:r>
        <w:rPr>
          <w:rFonts w:hint="eastAsia" w:ascii="仿宋_GB2312" w:hAnsi="仿宋_GB2312" w:eastAsia="仿宋_GB2312" w:cs="仿宋_GB2312"/>
        </w:rPr>
        <w:t>关于</w:t>
      </w:r>
      <w:r>
        <w:rPr>
          <w:rFonts w:hint="eastAsia" w:ascii="仿宋_GB2312" w:hAnsi="仿宋_GB2312" w:eastAsia="仿宋_GB2312" w:cs="仿宋_GB2312"/>
          <w:lang w:eastAsia="zh-CN"/>
        </w:rPr>
        <w:t>提振“大干快上”荥经状态，为建设“中国黑砂城、</w:t>
      </w:r>
      <w:r>
        <w:rPr>
          <w:rFonts w:hint="eastAsia" w:ascii="仿宋_GB2312" w:hAnsi="仿宋_GB2312" w:eastAsia="仿宋_GB2312" w:cs="仿宋_GB2312"/>
          <w:lang w:val="en-US" w:eastAsia="zh-CN"/>
        </w:rPr>
        <w:t>‘</w:t>
      </w:r>
      <w:r>
        <w:rPr>
          <w:rFonts w:hint="eastAsia" w:ascii="仿宋_GB2312" w:hAnsi="仿宋_GB2312" w:eastAsia="仿宋_GB2312" w:cs="仿宋_GB2312"/>
          <w:lang w:eastAsia="zh-CN"/>
        </w:rPr>
        <w:t>两山</w:t>
      </w:r>
      <w:r>
        <w:rPr>
          <w:rFonts w:hint="eastAsia" w:ascii="仿宋_GB2312" w:hAnsi="仿宋_GB2312" w:eastAsia="仿宋_GB2312" w:cs="仿宋_GB2312"/>
          <w:lang w:val="en-US" w:eastAsia="zh-CN"/>
        </w:rPr>
        <w:t>’</w:t>
      </w:r>
      <w:r>
        <w:rPr>
          <w:rFonts w:hint="eastAsia" w:ascii="仿宋_GB2312" w:hAnsi="仿宋_GB2312" w:eastAsia="仿宋_GB2312" w:cs="仿宋_GB2312"/>
          <w:lang w:eastAsia="zh-CN"/>
        </w:rPr>
        <w:t>示范区”提供坚强保障的决定</w:t>
      </w:r>
      <w:r>
        <w:rPr>
          <w:rFonts w:hint="eastAsia" w:ascii="仿宋_GB2312" w:hAnsi="仿宋_GB2312" w:eastAsia="仿宋_GB2312" w:cs="仿宋_GB2312"/>
          <w:lang w:val="en-US" w:eastAsia="zh-CN"/>
        </w:rPr>
        <w:t>》</w:t>
      </w:r>
      <w:r>
        <w:rPr>
          <w:rFonts w:hint="eastAsia" w:ascii="仿宋_GB2312" w:hAnsi="仿宋_GB2312" w:eastAsia="仿宋_GB2312" w:cs="仿宋_GB2312"/>
        </w:rPr>
        <w:t>（荥委〔202</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en-US" w:eastAsia="zh-CN"/>
        </w:rPr>
        <w:t>50</w:t>
      </w:r>
      <w:r>
        <w:rPr>
          <w:rFonts w:hint="eastAsia" w:ascii="仿宋_GB2312" w:hAnsi="仿宋_GB2312" w:eastAsia="仿宋_GB2312" w:cs="仿宋_GB2312"/>
        </w:rPr>
        <w:t>号）</w:t>
      </w:r>
      <w:r>
        <w:rPr>
          <w:rFonts w:hint="eastAsia" w:ascii="仿宋_GB2312" w:hAnsi="仿宋_GB2312" w:eastAsia="仿宋_GB2312" w:cs="仿宋_GB2312"/>
          <w:lang w:val="en-US" w:eastAsia="zh-CN"/>
        </w:rPr>
        <w:t>；</w:t>
      </w:r>
    </w:p>
    <w:p>
      <w:pPr>
        <w:pStyle w:val="30"/>
        <w:keepNext w:val="0"/>
        <w:keepLines w:val="0"/>
        <w:pageBreakBefore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rPr>
      </w:pP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left="64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《四川省荥经县县域村镇体系规划和城市总体规划（2013-2030）》；</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576" w:lineRule="exact"/>
        <w:ind w:firstLine="640"/>
        <w:jc w:val="both"/>
        <w:textAlignment w:val="auto"/>
      </w:pPr>
      <w:r>
        <w:rPr>
          <w:rFonts w:hint="eastAsia" w:ascii="仿宋_GB2312" w:hAnsi="仿宋_GB2312" w:eastAsia="仿宋_GB2312" w:cs="仿宋_GB2312"/>
        </w:rPr>
        <w:t>《雅安市荥经县县城控制性详细规划》等。</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ascii="Times New Roman" w:hAnsi="Times New Roman" w:cs="Times New Roman"/>
        </w:rPr>
      </w:pPr>
      <w:bookmarkStart w:id="15" w:name="_Toc11768"/>
      <w:bookmarkStart w:id="16" w:name="_Toc30897"/>
      <w:bookmarkStart w:id="17" w:name="_Toc14105"/>
      <w:r>
        <w:rPr>
          <w:rFonts w:hint="eastAsia" w:ascii="Times New Roman" w:hAnsi="Times New Roman" w:cs="Times New Roman"/>
          <w:b w:val="0"/>
          <w:bCs w:val="0"/>
          <w:sz w:val="32"/>
          <w:szCs w:val="32"/>
          <w:lang w:val="en-US" w:eastAsia="zh-CN"/>
        </w:rPr>
        <w:t>二、</w:t>
      </w:r>
      <w:r>
        <w:rPr>
          <w:rFonts w:ascii="Times New Roman" w:hAnsi="Times New Roman" w:cs="Times New Roman"/>
          <w:b w:val="0"/>
          <w:bCs w:val="0"/>
          <w:sz w:val="32"/>
          <w:szCs w:val="32"/>
        </w:rPr>
        <w:t>发展现状</w:t>
      </w:r>
      <w:bookmarkEnd w:id="15"/>
      <w:bookmarkEnd w:id="16"/>
      <w:bookmarkEnd w:id="17"/>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cs="Times New Roman"/>
        </w:rPr>
      </w:pPr>
      <w:bookmarkStart w:id="18" w:name="_Toc14424"/>
      <w:bookmarkStart w:id="19" w:name="_Toc24311"/>
      <w:bookmarkStart w:id="20" w:name="_Toc32458"/>
      <w:r>
        <w:rPr>
          <w:rFonts w:hint="eastAsia" w:ascii="楷体_GB2312" w:hAnsi="楷体_GB2312" w:eastAsia="楷体_GB2312" w:cs="楷体_GB2312"/>
          <w:b/>
          <w:bCs w:val="0"/>
          <w:lang w:eastAsia="zh-CN"/>
        </w:rPr>
        <w:t>（</w:t>
      </w:r>
      <w:r>
        <w:rPr>
          <w:rFonts w:hint="eastAsia" w:ascii="楷体_GB2312" w:hAnsi="楷体_GB2312" w:eastAsia="楷体_GB2312" w:cs="楷体_GB2312"/>
          <w:b/>
          <w:bCs w:val="0"/>
          <w:lang w:val="en-US" w:eastAsia="zh-CN"/>
        </w:rPr>
        <w:t>一</w:t>
      </w:r>
      <w:r>
        <w:rPr>
          <w:rFonts w:hint="eastAsia" w:ascii="楷体_GB2312" w:hAnsi="楷体_GB2312" w:eastAsia="楷体_GB2312" w:cs="楷体_GB2312"/>
          <w:b/>
          <w:bCs w:val="0"/>
          <w:lang w:eastAsia="zh-CN"/>
        </w:rPr>
        <w:t>）发展成效</w:t>
      </w:r>
      <w:bookmarkEnd w:id="18"/>
      <w:bookmarkEnd w:id="19"/>
      <w:bookmarkEnd w:id="20"/>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cs="Times New Roman"/>
          <w:szCs w:val="30"/>
        </w:rPr>
      </w:pPr>
      <w:bookmarkStart w:id="21" w:name="_Toc9340"/>
      <w:bookmarkStart w:id="22" w:name="_Toc8949"/>
      <w:bookmarkStart w:id="23" w:name="_Toc22818"/>
      <w:r>
        <w:rPr>
          <w:rFonts w:hint="eastAsia" w:cs="Times New Roman"/>
          <w:szCs w:val="30"/>
          <w:lang w:val="en-US" w:eastAsia="zh-CN"/>
        </w:rPr>
        <w:t>1.</w:t>
      </w:r>
      <w:r>
        <w:rPr>
          <w:rFonts w:cs="Times New Roman"/>
          <w:szCs w:val="30"/>
        </w:rPr>
        <w:t>产业地位显著提升</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hint="eastAsia" w:ascii="仿宋_GB2312" w:hAnsi="仿宋_GB2312" w:eastAsia="仿宋_GB2312" w:cs="仿宋_GB2312"/>
        </w:rPr>
        <w:t>“十三五”期间，荥经县服务业取得了显著发展，</w:t>
      </w:r>
      <w:r>
        <w:rPr>
          <w:rFonts w:hint="eastAsia" w:ascii="仿宋_GB2312" w:hAnsi="仿宋_GB2312" w:eastAsia="仿宋_GB2312" w:cs="仿宋_GB2312"/>
          <w:b/>
          <w:bCs/>
        </w:rPr>
        <w:t>产业规模稳步扩大</w:t>
      </w:r>
      <w:r>
        <w:rPr>
          <w:rFonts w:hint="eastAsia" w:ascii="仿宋_GB2312" w:hAnsi="仿宋_GB2312" w:eastAsia="仿宋_GB2312" w:cs="仿宋_GB2312"/>
        </w:rPr>
        <w:t>，2020年全县服务业增加值38.7亿元，较2016年增长42.01%，年均增速达到9.17%。</w:t>
      </w:r>
      <w:r>
        <w:rPr>
          <w:rFonts w:hint="eastAsia" w:ascii="仿宋_GB2312" w:hAnsi="仿宋_GB2312" w:eastAsia="仿宋_GB2312" w:cs="仿宋_GB2312"/>
          <w:b/>
          <w:bCs/>
        </w:rPr>
        <w:t>比重显著提升</w:t>
      </w:r>
      <w:r>
        <w:rPr>
          <w:rFonts w:hint="eastAsia" w:ascii="仿宋_GB2312" w:hAnsi="仿宋_GB2312" w:eastAsia="仿宋_GB2312" w:cs="仿宋_GB2312"/>
        </w:rPr>
        <w:t>，荥经县服务业增加值占全县增加值比重由2016年的46.6%提升到2020年的50.29%，占据荥经县经济“半壁江山”，在全市8个区县中排名第3。目前服务业已成为荥经县的第一大产业，是拉动全县经济增长的主要动力。</w:t>
      </w:r>
    </w:p>
    <w:p>
      <w:pPr>
        <w:pStyle w:val="38"/>
        <w:keepNext w:val="0"/>
        <w:keepLines w:val="0"/>
        <w:pageBreakBefore w:val="0"/>
        <w:widowControl w:val="0"/>
        <w:numPr>
          <w:ilvl w:val="0"/>
          <w:numId w:val="0"/>
        </w:numPr>
        <w:kinsoku/>
        <w:wordWrap/>
        <w:overflowPunct/>
        <w:topLinePunct w:val="0"/>
        <w:autoSpaceDE/>
        <w:autoSpaceDN/>
        <w:bidi w:val="0"/>
        <w:adjustRightInd/>
        <w:snapToGrid/>
        <w:spacing w:before="156" w:line="576" w:lineRule="exact"/>
        <w:ind w:leftChars="0"/>
        <w:jc w:val="center"/>
        <w:textAlignment w:val="auto"/>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sz w:val="24"/>
          <w:szCs w:val="24"/>
          <w:lang w:val="en-US" w:eastAsia="zh-CN"/>
        </w:rPr>
        <w:t xml:space="preserve">表1  </w:t>
      </w:r>
      <w:r>
        <w:rPr>
          <w:rFonts w:hint="eastAsia" w:ascii="方正小标宋简体" w:hAnsi="方正小标宋简体" w:eastAsia="方正小标宋简体" w:cs="方正小标宋简体"/>
          <w:sz w:val="24"/>
          <w:szCs w:val="24"/>
        </w:rPr>
        <w:t>2016-2020年荥经县三次产业总量及占比一览表</w:t>
      </w:r>
    </w:p>
    <w:tbl>
      <w:tblPr>
        <w:tblStyle w:val="19"/>
        <w:tblW w:w="8333" w:type="dxa"/>
        <w:jc w:val="center"/>
        <w:tblLayout w:type="fixed"/>
        <w:tblCellMar>
          <w:top w:w="0" w:type="dxa"/>
          <w:left w:w="0" w:type="dxa"/>
          <w:bottom w:w="0" w:type="dxa"/>
          <w:right w:w="0" w:type="dxa"/>
        </w:tblCellMar>
      </w:tblPr>
      <w:tblGrid>
        <w:gridCol w:w="1107"/>
        <w:gridCol w:w="1319"/>
        <w:gridCol w:w="1077"/>
        <w:gridCol w:w="1319"/>
        <w:gridCol w:w="1077"/>
        <w:gridCol w:w="1352"/>
        <w:gridCol w:w="1082"/>
      </w:tblGrid>
      <w:tr>
        <w:tblPrEx>
          <w:tblCellMar>
            <w:top w:w="0" w:type="dxa"/>
            <w:left w:w="0" w:type="dxa"/>
            <w:bottom w:w="0" w:type="dxa"/>
            <w:right w:w="0" w:type="dxa"/>
          </w:tblCellMar>
        </w:tblPrEx>
        <w:trPr>
          <w:trHeight w:val="394" w:hRule="atLeast"/>
          <w:tblHeader/>
          <w:jc w:val="center"/>
        </w:trPr>
        <w:tc>
          <w:tcPr>
            <w:tcW w:w="1107"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等线" w:cs="Times New Roman"/>
                <w:b/>
                <w:sz w:val="21"/>
                <w:szCs w:val="21"/>
              </w:rPr>
            </w:pPr>
            <w:r>
              <w:rPr>
                <w:rStyle w:val="47"/>
                <w:rFonts w:hint="default" w:ascii="Times New Roman" w:hAnsi="Times New Roman" w:cs="Times New Roman"/>
                <w:color w:val="auto"/>
                <w:lang w:bidi="ar"/>
              </w:rPr>
              <w:t>年份</w:t>
            </w:r>
          </w:p>
        </w:tc>
        <w:tc>
          <w:tcPr>
            <w:tcW w:w="2396" w:type="dxa"/>
            <w:gridSpan w:val="2"/>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等线" w:cs="Times New Roman"/>
                <w:b/>
                <w:sz w:val="21"/>
                <w:szCs w:val="21"/>
              </w:rPr>
            </w:pPr>
            <w:r>
              <w:rPr>
                <w:rStyle w:val="47"/>
                <w:rFonts w:hint="default" w:ascii="Times New Roman" w:hAnsi="Times New Roman" w:cs="Times New Roman"/>
                <w:color w:val="auto"/>
                <w:lang w:bidi="ar"/>
              </w:rPr>
              <w:t>第一产业增加值</w:t>
            </w:r>
          </w:p>
        </w:tc>
        <w:tc>
          <w:tcPr>
            <w:tcW w:w="2396" w:type="dxa"/>
            <w:gridSpan w:val="2"/>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等线" w:cs="Times New Roman"/>
                <w:b/>
                <w:sz w:val="21"/>
                <w:szCs w:val="21"/>
              </w:rPr>
            </w:pPr>
            <w:r>
              <w:rPr>
                <w:rStyle w:val="47"/>
                <w:rFonts w:hint="default" w:ascii="Times New Roman" w:hAnsi="Times New Roman" w:cs="Times New Roman"/>
                <w:color w:val="auto"/>
                <w:lang w:bidi="ar"/>
              </w:rPr>
              <w:t>第二产业增加值</w:t>
            </w:r>
          </w:p>
        </w:tc>
        <w:tc>
          <w:tcPr>
            <w:tcW w:w="2434" w:type="dxa"/>
            <w:gridSpan w:val="2"/>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等线" w:cs="Times New Roman"/>
                <w:b/>
                <w:sz w:val="21"/>
                <w:szCs w:val="21"/>
              </w:rPr>
            </w:pPr>
            <w:r>
              <w:rPr>
                <w:rStyle w:val="47"/>
                <w:rFonts w:hint="default" w:ascii="Times New Roman" w:hAnsi="Times New Roman" w:cs="Times New Roman"/>
                <w:color w:val="auto"/>
                <w:lang w:bidi="ar"/>
              </w:rPr>
              <w:t>第三产业增加值</w:t>
            </w:r>
          </w:p>
        </w:tc>
      </w:tr>
      <w:tr>
        <w:tblPrEx>
          <w:tblCellMar>
            <w:top w:w="0" w:type="dxa"/>
            <w:left w:w="0" w:type="dxa"/>
            <w:bottom w:w="0" w:type="dxa"/>
            <w:right w:w="0" w:type="dxa"/>
          </w:tblCellMar>
        </w:tblPrEx>
        <w:trPr>
          <w:trHeight w:val="312" w:hRule="atLeast"/>
          <w:tblHeader/>
          <w:jc w:val="center"/>
        </w:trPr>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0"/>
              <w:jc w:val="center"/>
              <w:rPr>
                <w:rFonts w:eastAsia="等线" w:cs="Times New Roman"/>
                <w:b/>
                <w:sz w:val="21"/>
                <w:szCs w:val="21"/>
              </w:rPr>
            </w:pPr>
          </w:p>
        </w:tc>
        <w:tc>
          <w:tcPr>
            <w:tcW w:w="1319"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总量</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（亿元）</w:t>
            </w:r>
          </w:p>
        </w:tc>
        <w:tc>
          <w:tcPr>
            <w:tcW w:w="1077"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占比</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w:t>
            </w:r>
          </w:p>
        </w:tc>
        <w:tc>
          <w:tcPr>
            <w:tcW w:w="1319"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总量</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（亿元）</w:t>
            </w:r>
          </w:p>
        </w:tc>
        <w:tc>
          <w:tcPr>
            <w:tcW w:w="1077"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占比</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w:t>
            </w:r>
          </w:p>
        </w:tc>
        <w:tc>
          <w:tcPr>
            <w:tcW w:w="1352"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总量</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（亿元）</w:t>
            </w:r>
          </w:p>
        </w:tc>
        <w:tc>
          <w:tcPr>
            <w:tcW w:w="1082" w:type="dxa"/>
            <w:vMerge w:val="restart"/>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0" w:firstLineChars="0"/>
              <w:jc w:val="center"/>
              <w:textAlignment w:val="center"/>
              <w:rPr>
                <w:rFonts w:eastAsia="黑体" w:cs="Times New Roman"/>
                <w:b/>
                <w:kern w:val="0"/>
                <w:sz w:val="21"/>
                <w:szCs w:val="21"/>
                <w:lang w:bidi="ar"/>
              </w:rPr>
            </w:pPr>
            <w:r>
              <w:rPr>
                <w:rFonts w:eastAsia="黑体" w:cs="Times New Roman"/>
                <w:b/>
                <w:kern w:val="0"/>
                <w:sz w:val="21"/>
                <w:szCs w:val="21"/>
                <w:lang w:bidi="ar"/>
              </w:rPr>
              <w:t>占比</w:t>
            </w:r>
          </w:p>
          <w:p>
            <w:pPr>
              <w:widowControl/>
              <w:spacing w:line="240" w:lineRule="auto"/>
              <w:ind w:firstLine="0" w:firstLineChars="0"/>
              <w:jc w:val="center"/>
              <w:textAlignment w:val="center"/>
              <w:rPr>
                <w:rFonts w:eastAsia="黑体" w:cs="Times New Roman"/>
                <w:b/>
                <w:sz w:val="21"/>
                <w:szCs w:val="21"/>
              </w:rPr>
            </w:pPr>
            <w:r>
              <w:rPr>
                <w:rFonts w:eastAsia="黑体" w:cs="Times New Roman"/>
                <w:b/>
                <w:kern w:val="0"/>
                <w:sz w:val="21"/>
                <w:szCs w:val="21"/>
                <w:lang w:bidi="ar"/>
              </w:rPr>
              <w:t>（%）</w:t>
            </w:r>
          </w:p>
        </w:tc>
      </w:tr>
      <w:tr>
        <w:tblPrEx>
          <w:tblCellMar>
            <w:top w:w="0" w:type="dxa"/>
            <w:left w:w="0" w:type="dxa"/>
            <w:bottom w:w="0" w:type="dxa"/>
            <w:right w:w="0" w:type="dxa"/>
          </w:tblCellMar>
        </w:tblPrEx>
        <w:trPr>
          <w:trHeight w:val="312" w:hRule="atLeast"/>
          <w:tblHeader/>
          <w:jc w:val="center"/>
        </w:trPr>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0"/>
              <w:jc w:val="center"/>
              <w:rPr>
                <w:rFonts w:eastAsia="等线" w:cs="Times New Roman"/>
                <w:b/>
                <w:sz w:val="21"/>
                <w:szCs w:val="21"/>
              </w:rPr>
            </w:pPr>
          </w:p>
        </w:tc>
        <w:tc>
          <w:tcPr>
            <w:tcW w:w="1319"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c>
          <w:tcPr>
            <w:tcW w:w="1319"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c>
          <w:tcPr>
            <w:tcW w:w="1352"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c>
          <w:tcPr>
            <w:tcW w:w="1082" w:type="dxa"/>
            <w:vMerge w:val="continue"/>
            <w:tcBorders>
              <w:top w:val="single" w:color="000000" w:sz="8" w:space="0"/>
              <w:left w:val="single" w:color="000000" w:sz="8" w:space="0"/>
              <w:bottom w:val="single" w:color="000000" w:sz="8" w:space="0"/>
              <w:right w:val="single" w:color="000000" w:sz="8" w:space="0"/>
            </w:tcBorders>
            <w:shd w:val="clear" w:color="auto" w:fill="CFCECE" w:themeFill="background2" w:themeFillShade="E5"/>
            <w:tcMar>
              <w:top w:w="15" w:type="dxa"/>
              <w:left w:w="15" w:type="dxa"/>
              <w:right w:w="15" w:type="dxa"/>
            </w:tcMar>
            <w:vAlign w:val="center"/>
          </w:tcPr>
          <w:p>
            <w:pPr>
              <w:widowControl/>
              <w:spacing w:line="240" w:lineRule="auto"/>
              <w:ind w:firstLine="422"/>
              <w:jc w:val="center"/>
              <w:rPr>
                <w:rFonts w:eastAsia="黑体" w:cs="Times New Roman"/>
                <w:b/>
                <w:sz w:val="21"/>
                <w:szCs w:val="21"/>
              </w:rPr>
            </w:pPr>
          </w:p>
        </w:tc>
      </w:tr>
      <w:tr>
        <w:tblPrEx>
          <w:tblCellMar>
            <w:top w:w="0" w:type="dxa"/>
            <w:left w:w="0" w:type="dxa"/>
            <w:bottom w:w="0" w:type="dxa"/>
            <w:right w:w="0" w:type="dxa"/>
          </w:tblCellMar>
        </w:tblPrEx>
        <w:trPr>
          <w:trHeight w:val="23" w:hRule="atLeast"/>
          <w:jc w:val="center"/>
        </w:trPr>
        <w:tc>
          <w:tcPr>
            <w:tcW w:w="110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2016</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9.41</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16.01</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21.81</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37.31</w:t>
            </w:r>
          </w:p>
        </w:tc>
        <w:tc>
          <w:tcPr>
            <w:tcW w:w="135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27.25</w:t>
            </w:r>
          </w:p>
        </w:tc>
        <w:tc>
          <w:tcPr>
            <w:tcW w:w="108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46.60</w:t>
            </w:r>
          </w:p>
        </w:tc>
      </w:tr>
      <w:tr>
        <w:tblPrEx>
          <w:tblCellMar>
            <w:top w:w="0" w:type="dxa"/>
            <w:left w:w="0" w:type="dxa"/>
            <w:bottom w:w="0" w:type="dxa"/>
            <w:right w:w="0" w:type="dxa"/>
          </w:tblCellMar>
        </w:tblPrEx>
        <w:trPr>
          <w:trHeight w:val="23" w:hRule="atLeast"/>
          <w:jc w:val="center"/>
        </w:trPr>
        <w:tc>
          <w:tcPr>
            <w:tcW w:w="110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2017</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10.19</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16.41</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21.82</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35.14</w:t>
            </w:r>
          </w:p>
        </w:tc>
        <w:tc>
          <w:tcPr>
            <w:tcW w:w="135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30.09</w:t>
            </w:r>
          </w:p>
        </w:tc>
        <w:tc>
          <w:tcPr>
            <w:tcW w:w="108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48.46</w:t>
            </w:r>
          </w:p>
        </w:tc>
      </w:tr>
      <w:tr>
        <w:tblPrEx>
          <w:tblCellMar>
            <w:top w:w="0" w:type="dxa"/>
            <w:left w:w="0" w:type="dxa"/>
            <w:bottom w:w="0" w:type="dxa"/>
            <w:right w:w="0" w:type="dxa"/>
          </w:tblCellMar>
        </w:tblPrEx>
        <w:trPr>
          <w:trHeight w:val="23" w:hRule="atLeast"/>
          <w:jc w:val="center"/>
        </w:trPr>
        <w:tc>
          <w:tcPr>
            <w:tcW w:w="110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2018</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11.29</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16.92</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21.88</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32.80</w:t>
            </w:r>
          </w:p>
        </w:tc>
        <w:tc>
          <w:tcPr>
            <w:tcW w:w="135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33.54</w:t>
            </w:r>
          </w:p>
        </w:tc>
        <w:tc>
          <w:tcPr>
            <w:tcW w:w="108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50.28</w:t>
            </w:r>
          </w:p>
        </w:tc>
      </w:tr>
      <w:tr>
        <w:tblPrEx>
          <w:tblCellMar>
            <w:top w:w="0" w:type="dxa"/>
            <w:left w:w="0" w:type="dxa"/>
            <w:bottom w:w="0" w:type="dxa"/>
            <w:right w:w="0" w:type="dxa"/>
          </w:tblCellMar>
        </w:tblPrEx>
        <w:trPr>
          <w:trHeight w:val="23" w:hRule="atLeast"/>
          <w:jc w:val="center"/>
        </w:trPr>
        <w:tc>
          <w:tcPr>
            <w:tcW w:w="110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2019</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12.63</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16.94</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1"/>
                <w:szCs w:val="21"/>
              </w:rPr>
            </w:pPr>
            <w:r>
              <w:rPr>
                <w:rFonts w:eastAsia="等线" w:cs="Times New Roman"/>
                <w:kern w:val="0"/>
                <w:sz w:val="21"/>
                <w:szCs w:val="21"/>
                <w:lang w:bidi="ar"/>
              </w:rPr>
              <w:t>24.17</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32.42</w:t>
            </w:r>
          </w:p>
        </w:tc>
        <w:tc>
          <w:tcPr>
            <w:tcW w:w="135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37.76</w:t>
            </w:r>
          </w:p>
        </w:tc>
        <w:tc>
          <w:tcPr>
            <w:tcW w:w="108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sz w:val="22"/>
                <w:szCs w:val="22"/>
              </w:rPr>
            </w:pPr>
            <w:r>
              <w:rPr>
                <w:rFonts w:eastAsia="等线" w:cs="Times New Roman"/>
                <w:kern w:val="0"/>
                <w:sz w:val="22"/>
                <w:szCs w:val="22"/>
                <w:lang w:bidi="ar"/>
              </w:rPr>
              <w:t>50.64</w:t>
            </w:r>
          </w:p>
        </w:tc>
      </w:tr>
      <w:tr>
        <w:tblPrEx>
          <w:tblCellMar>
            <w:top w:w="0" w:type="dxa"/>
            <w:left w:w="0" w:type="dxa"/>
            <w:bottom w:w="0" w:type="dxa"/>
            <w:right w:w="0" w:type="dxa"/>
          </w:tblCellMar>
        </w:tblPrEx>
        <w:trPr>
          <w:trHeight w:val="23" w:hRule="atLeast"/>
          <w:jc w:val="center"/>
        </w:trPr>
        <w:tc>
          <w:tcPr>
            <w:tcW w:w="110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1"/>
                <w:szCs w:val="21"/>
                <w:lang w:bidi="ar"/>
              </w:rPr>
            </w:pPr>
            <w:r>
              <w:rPr>
                <w:rFonts w:eastAsia="等线" w:cs="Times New Roman"/>
                <w:kern w:val="0"/>
                <w:sz w:val="21"/>
                <w:szCs w:val="21"/>
                <w:lang w:bidi="ar"/>
              </w:rPr>
              <w:t>2020</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1"/>
                <w:szCs w:val="21"/>
                <w:lang w:bidi="ar"/>
              </w:rPr>
            </w:pPr>
            <w:r>
              <w:rPr>
                <w:rFonts w:eastAsia="等线" w:cs="Times New Roman"/>
                <w:kern w:val="0"/>
                <w:sz w:val="21"/>
                <w:szCs w:val="21"/>
                <w:lang w:bidi="ar"/>
              </w:rPr>
              <w:t>14.07</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2"/>
                <w:szCs w:val="22"/>
                <w:lang w:bidi="ar"/>
              </w:rPr>
            </w:pPr>
            <w:r>
              <w:rPr>
                <w:rFonts w:eastAsia="等线" w:cs="Times New Roman"/>
                <w:kern w:val="0"/>
                <w:sz w:val="22"/>
                <w:szCs w:val="22"/>
                <w:lang w:bidi="ar"/>
              </w:rPr>
              <w:t>18.28</w:t>
            </w:r>
          </w:p>
        </w:tc>
        <w:tc>
          <w:tcPr>
            <w:tcW w:w="13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1"/>
                <w:szCs w:val="21"/>
                <w:lang w:bidi="ar"/>
              </w:rPr>
            </w:pPr>
            <w:r>
              <w:rPr>
                <w:rFonts w:eastAsia="等线" w:cs="Times New Roman"/>
                <w:kern w:val="0"/>
                <w:sz w:val="21"/>
                <w:szCs w:val="21"/>
                <w:lang w:bidi="ar"/>
              </w:rPr>
              <w:t>24.19</w:t>
            </w:r>
          </w:p>
        </w:tc>
        <w:tc>
          <w:tcPr>
            <w:tcW w:w="107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2"/>
                <w:szCs w:val="22"/>
                <w:lang w:bidi="ar"/>
              </w:rPr>
            </w:pPr>
            <w:r>
              <w:rPr>
                <w:rFonts w:eastAsia="等线" w:cs="Times New Roman"/>
                <w:kern w:val="0"/>
                <w:sz w:val="22"/>
                <w:szCs w:val="22"/>
                <w:lang w:bidi="ar"/>
              </w:rPr>
              <w:t>31.43</w:t>
            </w:r>
          </w:p>
        </w:tc>
        <w:tc>
          <w:tcPr>
            <w:tcW w:w="135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2"/>
                <w:szCs w:val="22"/>
                <w:lang w:bidi="ar"/>
              </w:rPr>
            </w:pPr>
            <w:r>
              <w:rPr>
                <w:rFonts w:eastAsia="等线" w:cs="Times New Roman"/>
                <w:kern w:val="0"/>
                <w:sz w:val="22"/>
                <w:szCs w:val="22"/>
                <w:lang w:bidi="ar"/>
              </w:rPr>
              <w:t>38.7</w:t>
            </w:r>
          </w:p>
        </w:tc>
        <w:tc>
          <w:tcPr>
            <w:tcW w:w="1082"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等线" w:cs="Times New Roman"/>
                <w:kern w:val="0"/>
                <w:sz w:val="22"/>
                <w:szCs w:val="22"/>
                <w:lang w:bidi="ar"/>
              </w:rPr>
            </w:pPr>
            <w:r>
              <w:rPr>
                <w:rFonts w:eastAsia="等线" w:cs="Times New Roman"/>
                <w:kern w:val="0"/>
                <w:sz w:val="22"/>
                <w:szCs w:val="22"/>
                <w:lang w:bidi="ar"/>
              </w:rPr>
              <w:t>50.29</w:t>
            </w:r>
          </w:p>
        </w:tc>
      </w:tr>
    </w:tbl>
    <w:p>
      <w:pPr>
        <w:spacing w:line="240" w:lineRule="auto"/>
        <w:ind w:firstLine="0" w:firstLineChars="0"/>
        <w:jc w:val="center"/>
        <w:rPr>
          <w:rFonts w:cs="Times New Roman"/>
        </w:rPr>
      </w:pPr>
    </w:p>
    <w:p>
      <w:pPr>
        <w:spacing w:line="240" w:lineRule="auto"/>
        <w:ind w:firstLine="0" w:firstLineChars="0"/>
        <w:jc w:val="center"/>
        <w:rPr>
          <w:rFonts w:cs="Times New Roman"/>
        </w:rPr>
      </w:pPr>
      <w:r>
        <w:rPr>
          <w:rFonts w:cs="Times New Roman"/>
        </w:rPr>
        <w:drawing>
          <wp:inline distT="0" distB="0" distL="114300" distR="114300">
            <wp:extent cx="4581525" cy="2511425"/>
            <wp:effectExtent l="0" t="0" r="9525" b="317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8"/>
                    <a:stretch>
                      <a:fillRect/>
                    </a:stretch>
                  </pic:blipFill>
                  <pic:spPr>
                    <a:xfrm>
                      <a:off x="0" y="0"/>
                      <a:ext cx="4581525" cy="2511425"/>
                    </a:xfrm>
                    <a:prstGeom prst="rect">
                      <a:avLst/>
                    </a:prstGeom>
                  </pic:spPr>
                </pic:pic>
              </a:graphicData>
            </a:graphic>
          </wp:inline>
        </w:drawing>
      </w:r>
    </w:p>
    <w:p>
      <w:pPr>
        <w:pStyle w:val="37"/>
        <w:numPr>
          <w:ilvl w:val="0"/>
          <w:numId w:val="0"/>
        </w:numPr>
        <w:spacing w:after="156"/>
        <w:ind w:leftChars="0"/>
        <w:jc w:val="center"/>
        <w:rPr>
          <w:rFonts w:eastAsia="楷体_GB2312" w:cs="Times New Roman"/>
          <w:sz w:val="21"/>
          <w:szCs w:val="32"/>
        </w:rPr>
      </w:pPr>
      <w:r>
        <w:rPr>
          <w:rFonts w:hint="eastAsia" w:eastAsia="楷体_GB2312" w:cs="Times New Roman"/>
          <w:sz w:val="21"/>
          <w:szCs w:val="32"/>
          <w:lang w:val="en-US" w:eastAsia="zh-CN"/>
        </w:rPr>
        <w:t xml:space="preserve">图1  </w:t>
      </w:r>
      <w:r>
        <w:rPr>
          <w:rFonts w:eastAsia="楷体_GB2312" w:cs="Times New Roman"/>
          <w:sz w:val="21"/>
          <w:szCs w:val="32"/>
        </w:rPr>
        <w:t>2020年雅安市全市8区县服务业增加值占GDP比重对比图</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cs="Times New Roman"/>
          <w:szCs w:val="30"/>
        </w:rPr>
      </w:pPr>
      <w:bookmarkStart w:id="24" w:name="_Toc1371"/>
      <w:bookmarkStart w:id="25" w:name="_Toc21367"/>
      <w:bookmarkStart w:id="26" w:name="_Toc15533"/>
      <w:r>
        <w:rPr>
          <w:rFonts w:hint="eastAsia" w:cs="Times New Roman"/>
          <w:szCs w:val="30"/>
          <w:lang w:val="en-US" w:eastAsia="zh-CN"/>
        </w:rPr>
        <w:t>2.</w:t>
      </w:r>
      <w:r>
        <w:rPr>
          <w:rFonts w:cs="Times New Roman"/>
          <w:szCs w:val="30"/>
        </w:rPr>
        <w:t>重点行业显著发展</w:t>
      </w:r>
      <w:bookmarkEnd w:id="24"/>
      <w:bookmarkEnd w:id="25"/>
      <w:bookmarkEnd w:id="26"/>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lang w:bidi="ar"/>
        </w:rPr>
      </w:pPr>
      <w:r>
        <w:rPr>
          <w:rFonts w:hint="eastAsia" w:ascii="仿宋_GB2312" w:hAnsi="仿宋_GB2312" w:eastAsia="仿宋_GB2312" w:cs="仿宋_GB2312"/>
          <w:b/>
          <w:bCs/>
        </w:rPr>
        <w:t>文化旅游。</w:t>
      </w:r>
      <w:r>
        <w:rPr>
          <w:rFonts w:hint="eastAsia" w:ascii="仿宋_GB2312" w:hAnsi="仿宋_GB2312" w:eastAsia="仿宋_GB2312" w:cs="仿宋_GB2312"/>
          <w:szCs w:val="32"/>
          <w:lang w:bidi="ar"/>
        </w:rPr>
        <w:t>2020年荥经县旅游总收入达到36.71亿元，较2015年增长211%，旅游人数达到376.5万人，较2015年增长169%。</w:t>
      </w:r>
      <w:r>
        <w:rPr>
          <w:rFonts w:hint="eastAsia" w:ascii="仿宋_GB2312" w:hAnsi="仿宋_GB2312" w:eastAsia="仿宋_GB2312" w:cs="仿宋_GB2312"/>
        </w:rPr>
        <w:t>“十三五”期间，荥经县加快推进牛背山、中国桌山（龙苍沟）、云峰山和中国黑砂城“三山一城”的旅游产业发展布局，一批旅游载体不断出现，龙苍沟叠翠溪公园、云峰山景区成功创建国家4A级旅游景区。叠翠溪二期开工建设，黑石公园、牛背山山顶基础设施建设推进加快，中国严道黑砂小镇丝路砂都国际营地完工，黑砂博物馆建成投运。目前全县共有</w:t>
      </w:r>
      <w:r>
        <w:rPr>
          <w:rFonts w:hint="eastAsia" w:ascii="仿宋_GB2312" w:hAnsi="仿宋_GB2312" w:eastAsia="仿宋_GB2312" w:cs="仿宋_GB2312"/>
          <w:kern w:val="0"/>
          <w:szCs w:val="32"/>
        </w:rPr>
        <w:t>星级饭店1家，其</w:t>
      </w:r>
      <w:r>
        <w:rPr>
          <w:rFonts w:hint="eastAsia" w:ascii="仿宋_GB2312" w:hAnsi="仿宋_GB2312" w:eastAsia="仿宋_GB2312" w:cs="仿宋_GB2312"/>
          <w:kern w:val="0"/>
          <w:szCs w:val="32"/>
          <w:lang w:eastAsia="zh-Hans"/>
        </w:rPr>
        <w:t>他</w:t>
      </w:r>
      <w:r>
        <w:rPr>
          <w:rFonts w:hint="eastAsia" w:ascii="仿宋_GB2312" w:hAnsi="仿宋_GB2312" w:eastAsia="仿宋_GB2312" w:cs="仿宋_GB2312"/>
          <w:kern w:val="0"/>
          <w:szCs w:val="32"/>
        </w:rPr>
        <w:t>酒店、宾馆、旅社86家，累计建成各类农家乐109家，</w:t>
      </w:r>
      <w:r>
        <w:rPr>
          <w:rFonts w:hint="eastAsia" w:ascii="仿宋_GB2312" w:hAnsi="仿宋_GB2312" w:eastAsia="仿宋_GB2312" w:cs="仿宋_GB2312"/>
          <w:szCs w:val="32"/>
        </w:rPr>
        <w:t>其中星级农家乐21家，</w:t>
      </w:r>
      <w:r>
        <w:rPr>
          <w:rFonts w:hint="eastAsia" w:ascii="仿宋_GB2312" w:hAnsi="仿宋_GB2312" w:eastAsia="仿宋_GB2312" w:cs="仿宋_GB2312"/>
          <w:kern w:val="0"/>
          <w:szCs w:val="32"/>
        </w:rPr>
        <w:t>有各类旅游购物点100余家，旅行社9家。持续举办</w:t>
      </w:r>
      <w:r>
        <w:rPr>
          <w:rFonts w:hint="eastAsia" w:ascii="仿宋_GB2312" w:hAnsi="仿宋_GB2312" w:eastAsia="仿宋_GB2312" w:cs="仿宋_GB2312"/>
          <w:szCs w:val="32"/>
          <w:lang w:bidi="ar"/>
        </w:rPr>
        <w:t>鸽子花生态旅游节、中国鸽子花峰会等</w:t>
      </w:r>
      <w:r>
        <w:rPr>
          <w:rFonts w:hint="eastAsia" w:ascii="仿宋_GB2312" w:hAnsi="仿宋_GB2312" w:eastAsia="仿宋_GB2312" w:cs="仿宋_GB2312"/>
        </w:rPr>
        <w:t>多项旅游活动</w:t>
      </w:r>
      <w:r>
        <w:rPr>
          <w:rFonts w:hint="eastAsia" w:ascii="仿宋_GB2312" w:hAnsi="仿宋_GB2312" w:eastAsia="仿宋_GB2312" w:cs="仿宋_GB2312"/>
          <w:szCs w:val="32"/>
          <w:lang w:bidi="ar"/>
        </w:rPr>
        <w:t>。2020年1月荥经县成功被纳入第二批天府旅游名县候选县申报名单和四川省全域旅游示范区创建单位名单。</w:t>
      </w:r>
    </w:p>
    <w:p>
      <w:pPr>
        <w:spacing w:line="240" w:lineRule="auto"/>
        <w:ind w:firstLine="0" w:firstLineChars="0"/>
        <w:jc w:val="center"/>
        <w:rPr>
          <w:rFonts w:eastAsia="宋体" w:cs="Times New Roman"/>
          <w:sz w:val="24"/>
        </w:rPr>
      </w:pPr>
      <w:r>
        <w:rPr>
          <w:rFonts w:hint="eastAsia" w:eastAsia="宋体" w:cs="Times New Roman"/>
          <w:sz w:val="24"/>
        </w:rPr>
        <w:drawing>
          <wp:inline distT="0" distB="0" distL="114300" distR="114300">
            <wp:extent cx="4581525" cy="2752725"/>
            <wp:effectExtent l="0" t="0" r="9525" b="9525"/>
            <wp:docPr id="6" name="图片 6"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true"/>
                    </pic:cNvPicPr>
                  </pic:nvPicPr>
                  <pic:blipFill>
                    <a:blip r:embed="rId9"/>
                    <a:stretch>
                      <a:fillRect/>
                    </a:stretch>
                  </pic:blipFill>
                  <pic:spPr>
                    <a:xfrm>
                      <a:off x="0" y="0"/>
                      <a:ext cx="4581525" cy="2752725"/>
                    </a:xfrm>
                    <a:prstGeom prst="rect">
                      <a:avLst/>
                    </a:prstGeom>
                  </pic:spPr>
                </pic:pic>
              </a:graphicData>
            </a:graphic>
          </wp:inline>
        </w:drawing>
      </w:r>
    </w:p>
    <w:p>
      <w:pPr>
        <w:pStyle w:val="37"/>
        <w:numPr>
          <w:ilvl w:val="0"/>
          <w:numId w:val="0"/>
        </w:numPr>
        <w:spacing w:after="156"/>
        <w:ind w:leftChars="0"/>
        <w:jc w:val="center"/>
        <w:rPr>
          <w:rFonts w:eastAsia="楷体_GB2312" w:cs="Times New Roman"/>
          <w:sz w:val="21"/>
          <w:szCs w:val="32"/>
        </w:rPr>
      </w:pPr>
      <w:r>
        <w:rPr>
          <w:rFonts w:hint="eastAsia" w:eastAsia="楷体_GB2312" w:cs="Times New Roman"/>
          <w:sz w:val="21"/>
          <w:szCs w:val="32"/>
          <w:lang w:val="en-US" w:eastAsia="zh-CN"/>
        </w:rPr>
        <w:t xml:space="preserve">图2  </w:t>
      </w:r>
      <w:r>
        <w:rPr>
          <w:rFonts w:eastAsia="楷体_GB2312" w:cs="Times New Roman"/>
          <w:sz w:val="21"/>
          <w:szCs w:val="32"/>
        </w:rPr>
        <w:t>201</w:t>
      </w:r>
      <w:r>
        <w:rPr>
          <w:rFonts w:hint="eastAsia" w:eastAsia="楷体_GB2312" w:cs="Times New Roman"/>
          <w:sz w:val="21"/>
          <w:szCs w:val="32"/>
        </w:rPr>
        <w:t>6</w:t>
      </w:r>
      <w:r>
        <w:rPr>
          <w:rFonts w:eastAsia="楷体_GB2312" w:cs="Times New Roman"/>
          <w:sz w:val="21"/>
          <w:szCs w:val="32"/>
        </w:rPr>
        <w:t>-20</w:t>
      </w:r>
      <w:r>
        <w:rPr>
          <w:rFonts w:hint="eastAsia" w:eastAsia="楷体_GB2312" w:cs="Times New Roman"/>
          <w:sz w:val="21"/>
          <w:szCs w:val="32"/>
        </w:rPr>
        <w:t>20</w:t>
      </w:r>
      <w:r>
        <w:rPr>
          <w:rFonts w:eastAsia="楷体_GB2312" w:cs="Times New Roman"/>
          <w:sz w:val="21"/>
          <w:szCs w:val="32"/>
        </w:rPr>
        <w:t>年荥经县旅游综合收入变化图</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rPr>
      </w:pPr>
      <w:r>
        <w:rPr>
          <w:rFonts w:hint="eastAsia" w:ascii="仿宋_GB2312" w:hAnsi="仿宋_GB2312" w:eastAsia="仿宋_GB2312" w:cs="仿宋_GB2312"/>
          <w:b/>
          <w:bCs/>
        </w:rPr>
        <w:t>商业贸易。</w:t>
      </w:r>
      <w:r>
        <w:rPr>
          <w:rFonts w:hint="eastAsia" w:ascii="仿宋_GB2312" w:hAnsi="仿宋_GB2312" w:eastAsia="仿宋_GB2312" w:cs="仿宋_GB2312"/>
        </w:rPr>
        <w:t>“十三五”期间，荥经县商业贸易快步发展，居民消费能力不断增强，2020年全县社会消费品零售总额实现26.76亿元，是2016年的1.3倍；2020年全县城镇居民人均可支配收入36816元，是2016年的1.35倍，一批商业贸易载体建成，财富中心、尚品国际、德能新城、鸿林新城等商圈逐步形成，商业人气不断积聚。</w:t>
      </w:r>
    </w:p>
    <w:p>
      <w:pPr>
        <w:spacing w:line="240" w:lineRule="auto"/>
        <w:ind w:firstLine="0" w:firstLineChars="0"/>
        <w:jc w:val="center"/>
        <w:rPr>
          <w:rFonts w:cs="Times New Roman"/>
        </w:rPr>
      </w:pPr>
      <w:r>
        <w:rPr>
          <w:rFonts w:cs="Times New Roman"/>
        </w:rPr>
        <w:drawing>
          <wp:inline distT="0" distB="0" distL="114300" distR="114300">
            <wp:extent cx="4584065" cy="2708275"/>
            <wp:effectExtent l="0" t="0" r="6985" b="15875"/>
            <wp:docPr id="1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true"/>
                    </pic:cNvPicPr>
                  </pic:nvPicPr>
                  <pic:blipFill>
                    <a:blip r:embed="rId10"/>
                    <a:stretch>
                      <a:fillRect/>
                    </a:stretch>
                  </pic:blipFill>
                  <pic:spPr>
                    <a:xfrm>
                      <a:off x="0" y="0"/>
                      <a:ext cx="4584065" cy="2708275"/>
                    </a:xfrm>
                    <a:prstGeom prst="rect">
                      <a:avLst/>
                    </a:prstGeom>
                    <a:noFill/>
                    <a:ln>
                      <a:noFill/>
                    </a:ln>
                  </pic:spPr>
                </pic:pic>
              </a:graphicData>
            </a:graphic>
          </wp:inline>
        </w:drawing>
      </w:r>
    </w:p>
    <w:p>
      <w:pPr>
        <w:pStyle w:val="37"/>
        <w:numPr>
          <w:ilvl w:val="0"/>
          <w:numId w:val="0"/>
        </w:numPr>
        <w:spacing w:after="156"/>
        <w:ind w:leftChars="0"/>
        <w:jc w:val="center"/>
        <w:rPr>
          <w:rFonts w:eastAsia="楷体_GB2312" w:cs="Times New Roman"/>
          <w:sz w:val="21"/>
          <w:szCs w:val="32"/>
        </w:rPr>
      </w:pPr>
      <w:r>
        <w:rPr>
          <w:rFonts w:hint="eastAsia" w:eastAsia="楷体_GB2312" w:cs="Times New Roman"/>
          <w:sz w:val="21"/>
          <w:szCs w:val="32"/>
          <w:lang w:val="en-US" w:eastAsia="zh-CN"/>
        </w:rPr>
        <w:t xml:space="preserve">图3  </w:t>
      </w:r>
      <w:r>
        <w:rPr>
          <w:rFonts w:eastAsia="楷体_GB2312" w:cs="Times New Roman"/>
          <w:sz w:val="21"/>
          <w:szCs w:val="32"/>
        </w:rPr>
        <w:t>2016-2020年荥经县社会消费品零售总额及城镇居民人均可支配收入变化图</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森林康养。</w:t>
      </w:r>
      <w:r>
        <w:rPr>
          <w:rFonts w:hint="eastAsia" w:ascii="仿宋_GB2312" w:hAnsi="仿宋_GB2312" w:eastAsia="仿宋_GB2312" w:cs="仿宋_GB2312"/>
        </w:rPr>
        <w:t>“十三五”期间，荥经县积极推进康养基础设施建设，截至2020年底全县共有养老服务机构30个，包括医养结合康复性医院1所，民办养老机构2个，公办养老机构3个，日间照料中心9个，农村幸福院15个。积极打造森林康养、运动康养基地，目前正加快推进建设龙苍沟国际森林康养、中国严道黑砂文化康养、牛背山世界级运动休闲康养、云峰山天府禅修谷四大康养度假园区，荥经县现已形成龙苍沟养身、云峰寺养心、牛背山养眼三大特色IP，被誉为“三养”圣地。</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现代物流。</w:t>
      </w:r>
      <w:r>
        <w:rPr>
          <w:rFonts w:hint="eastAsia" w:ascii="仿宋_GB2312" w:hAnsi="仿宋_GB2312" w:eastAsia="仿宋_GB2312" w:cs="仿宋_GB2312"/>
        </w:rPr>
        <w:t>2020年荥经县货运总量达到615.82万吨。作为荥经县最重要的物流园区，荥经现代商贸物流园正加快建设中，建成后将进一步带动荥经县物流产业发展，成为雅安市打造川西物流中心的重要节点。</w:t>
      </w:r>
      <w:r>
        <w:rPr>
          <w:rFonts w:hint="eastAsia" w:ascii="仿宋_GB2312" w:hAnsi="仿宋_GB2312" w:eastAsia="仿宋_GB2312" w:cs="仿宋_GB2312"/>
          <w:szCs w:val="32"/>
          <w:lang w:bidi="ar"/>
        </w:rPr>
        <w:t>建设完成县级电商物流分拨中心和84个乡（镇）、村物流收发点，并根据荥经县乡（镇）布局合理地设计了4条配送线路。</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电子商务。</w:t>
      </w:r>
      <w:r>
        <w:rPr>
          <w:rFonts w:hint="eastAsia" w:ascii="仿宋_GB2312" w:hAnsi="仿宋_GB2312" w:eastAsia="仿宋_GB2312" w:cs="仿宋_GB2312"/>
        </w:rPr>
        <w:t>2016年荥经县成功申报成为国家级电子商务进农村综合示范县，并着手开展电子商务进农村综合示范工作，目前电子商务公共服务中心建设、电子商务培训、物流体系建设、产品开发及品牌培育、农村电子商务网点建设等工作都在稳步推进中。</w:t>
      </w:r>
      <w:r>
        <w:rPr>
          <w:rFonts w:hint="eastAsia" w:ascii="仿宋_GB2312" w:hAnsi="仿宋_GB2312" w:eastAsia="仿宋_GB2312" w:cs="仿宋_GB2312"/>
          <w:szCs w:val="32"/>
          <w:lang w:bidi="ar"/>
        </w:rPr>
        <w:t>截至2020年12月，荥经县有注册电商店铺1352家，电商从业人员3000余人，</w:t>
      </w:r>
      <w:r>
        <w:rPr>
          <w:rFonts w:hint="eastAsia" w:ascii="仿宋_GB2312" w:hAnsi="仿宋_GB2312" w:eastAsia="仿宋_GB2312" w:cs="仿宋_GB2312"/>
          <w:szCs w:val="21"/>
          <w:lang w:bidi="ar"/>
        </w:rPr>
        <w:t>实现电子商务交易额25429万元，网络零售额5981万元，</w:t>
      </w:r>
      <w:r>
        <w:rPr>
          <w:rFonts w:hint="eastAsia" w:ascii="仿宋_GB2312" w:hAnsi="仿宋_GB2312" w:eastAsia="仿宋_GB2312" w:cs="仿宋_GB2312"/>
        </w:rPr>
        <w:t>共有16家企业入驻荥经县电子商务公共服务中心，已完成5475人次电商培训，开展了多次农产品产销对接帮扶活动。</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szCs w:val="30"/>
        </w:rPr>
      </w:pPr>
      <w:bookmarkStart w:id="27" w:name="_Toc2931"/>
      <w:bookmarkStart w:id="28" w:name="_Toc27846"/>
      <w:bookmarkStart w:id="29" w:name="_Toc13580"/>
      <w:r>
        <w:rPr>
          <w:rFonts w:hint="eastAsia" w:ascii="仿宋_GB2312" w:hAnsi="仿宋_GB2312" w:eastAsia="仿宋_GB2312" w:cs="仿宋_GB2312"/>
          <w:szCs w:val="30"/>
          <w:lang w:val="en-US" w:eastAsia="zh-CN"/>
        </w:rPr>
        <w:t>3.</w:t>
      </w:r>
      <w:r>
        <w:rPr>
          <w:rFonts w:hint="eastAsia" w:ascii="仿宋_GB2312" w:hAnsi="仿宋_GB2312" w:eastAsia="仿宋_GB2312" w:cs="仿宋_GB2312"/>
          <w:szCs w:val="30"/>
        </w:rPr>
        <w:t>扶持力度显著增强</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szCs w:val="32"/>
          <w:lang w:bidi="ar"/>
        </w:rPr>
        <w:t>“十三五”期间，县委县政府高度重视服务业发展，成立由县委、县政府主要负责人为领导的服务业发展领导小组，为强力推进全县服务业发展提供了机制保障。陆续出台了《荥经县关于进一步加快服务业发展的实施意见》《荥经县关于推进夜间经济发展的实施意见》《荥经县总部经济发展的实施意见》等促进服务业发展的政策措施，政策资金扶持力度明显增强。2020年7月29号，荥经县高规格召开服务业大会，传达贯彻落实省、市服务业发展大会精神，要打响“荥经服务”品牌、提升“荥经服务”品质，为雅安建设现代服务业强市贡献荥经力量，全县上下形成了促进服务业发展的强大合力。</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楷体_GB2312" w:hAnsi="楷体_GB2312" w:eastAsia="楷体_GB2312" w:cs="楷体_GB2312"/>
        </w:rPr>
      </w:pPr>
      <w:bookmarkStart w:id="30" w:name="_Toc27848"/>
      <w:bookmarkStart w:id="31" w:name="_Toc2070"/>
      <w:bookmarkStart w:id="32" w:name="_Toc13002"/>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二</w:t>
      </w:r>
      <w:r>
        <w:rPr>
          <w:rFonts w:hint="eastAsia" w:ascii="楷体_GB2312" w:hAnsi="楷体_GB2312" w:eastAsia="楷体_GB2312" w:cs="楷体_GB2312"/>
          <w:lang w:eastAsia="zh-CN"/>
        </w:rPr>
        <w:t>）</w:t>
      </w:r>
      <w:r>
        <w:rPr>
          <w:rFonts w:hint="eastAsia" w:ascii="楷体_GB2312" w:hAnsi="楷体_GB2312" w:eastAsia="楷体_GB2312" w:cs="楷体_GB2312"/>
        </w:rPr>
        <w:t>存在短板</w:t>
      </w:r>
      <w:bookmarkEnd w:id="30"/>
      <w:bookmarkEnd w:id="31"/>
      <w:bookmarkEnd w:id="32"/>
    </w:p>
    <w:p>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szCs w:val="30"/>
        </w:rPr>
      </w:pPr>
      <w:bookmarkStart w:id="33" w:name="_Toc7825"/>
      <w:bookmarkStart w:id="34" w:name="_Toc3297"/>
      <w:bookmarkStart w:id="35" w:name="_Toc6111"/>
      <w:bookmarkStart w:id="36" w:name="_Toc7855"/>
      <w:r>
        <w:rPr>
          <w:rFonts w:hint="eastAsia" w:ascii="仿宋_GB2312" w:hAnsi="仿宋_GB2312" w:eastAsia="仿宋_GB2312" w:cs="仿宋_GB2312"/>
          <w:szCs w:val="30"/>
          <w:lang w:val="en-US" w:eastAsia="zh-CN"/>
        </w:rPr>
        <w:t>1.</w:t>
      </w:r>
      <w:r>
        <w:rPr>
          <w:rFonts w:hint="eastAsia" w:ascii="仿宋_GB2312" w:hAnsi="仿宋_GB2312" w:eastAsia="仿宋_GB2312" w:cs="仿宋_GB2312"/>
          <w:szCs w:val="30"/>
        </w:rPr>
        <w:t>资源开发程度低，产业配套不完善</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荥经拥有丰富多元的各类优质资源，但是目前开发利用程度较低，没有有效地把优质的资源转化成为经济发展的动力。一方面，旅游资源的开发利用率低，大量旅游资源尚未开发，重大旅游项目建设缓慢，特别是</w:t>
      </w:r>
      <w:r>
        <w:rPr>
          <w:rFonts w:hint="eastAsia" w:ascii="仿宋_GB2312" w:hAnsi="仿宋_GB2312" w:eastAsia="仿宋_GB2312" w:cs="仿宋_GB2312"/>
          <w:szCs w:val="32"/>
        </w:rPr>
        <w:t>牛背山、云峰山两个核心景区的建设和龙苍沟旅游开发项目推进比较滞后，尚未形成旅游核心竞争力。另一方面，康养资源的开发利用率低，康养配套产业及设施较为薄弱，主要以景区景点观光游览为主，服务形式较为单一，公共交通配套不完善，康养产品线路尚未成熟，还未形成完整的康养体系。</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szCs w:val="30"/>
        </w:rPr>
      </w:pPr>
      <w:bookmarkStart w:id="37" w:name="_Toc104"/>
      <w:bookmarkStart w:id="38" w:name="_Toc28"/>
      <w:r>
        <w:rPr>
          <w:rFonts w:hint="eastAsia" w:ascii="仿宋_GB2312" w:hAnsi="仿宋_GB2312" w:eastAsia="仿宋_GB2312" w:cs="仿宋_GB2312"/>
          <w:szCs w:val="30"/>
          <w:lang w:val="en-US" w:eastAsia="zh-CN"/>
        </w:rPr>
        <w:t>2.</w:t>
      </w:r>
      <w:r>
        <w:rPr>
          <w:rFonts w:hint="eastAsia" w:ascii="仿宋_GB2312" w:hAnsi="仿宋_GB2312" w:eastAsia="仿宋_GB2312" w:cs="仿宋_GB2312"/>
          <w:szCs w:val="30"/>
        </w:rPr>
        <w:t>产业结构不平衡，新兴服务业匮乏</w:t>
      </w:r>
      <w:bookmarkEnd w:id="36"/>
      <w:bookmarkEnd w:id="37"/>
      <w:bookmarkEnd w:id="38"/>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目前荥经县服务业以批发零售、住宿餐饮等传统服务业为主，占全县服务业95%左右，主要为低端的商品性服务业，其附加值低、品质不高。新兴服务业发展明显滞后，特别是对科技信息服务业重视不够，支持力度弱，导致高新技术企业从2012年的60余家减少到2020年的40余家，规模以上</w:t>
      </w:r>
      <w:r>
        <w:rPr>
          <w:rFonts w:hint="eastAsia" w:ascii="仿宋_GB2312" w:hAnsi="仿宋_GB2312" w:eastAsia="仿宋_GB2312" w:cs="仿宋_GB2312"/>
          <w:szCs w:val="32"/>
        </w:rPr>
        <w:t>互联网和相关服务、软件和信息技术服务业企业缺乏。</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szCs w:val="30"/>
        </w:rPr>
      </w:pPr>
      <w:bookmarkStart w:id="39" w:name="_Toc18058"/>
      <w:bookmarkStart w:id="40" w:name="_Toc19918"/>
      <w:bookmarkStart w:id="41" w:name="_Toc15211"/>
      <w:r>
        <w:rPr>
          <w:rFonts w:hint="eastAsia" w:ascii="仿宋_GB2312" w:hAnsi="仿宋_GB2312" w:eastAsia="仿宋_GB2312" w:cs="仿宋_GB2312"/>
          <w:szCs w:val="30"/>
          <w:lang w:val="en-US" w:eastAsia="zh-CN"/>
        </w:rPr>
        <w:t>3.</w:t>
      </w:r>
      <w:r>
        <w:rPr>
          <w:rFonts w:hint="eastAsia" w:ascii="仿宋_GB2312" w:hAnsi="仿宋_GB2312" w:eastAsia="仿宋_GB2312" w:cs="仿宋_GB2312"/>
          <w:szCs w:val="30"/>
        </w:rPr>
        <w:t>产业融合互动弱，工农业拉动不强</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县服务业发展缺乏跨界发展意识，产业间融合度不高。一是服务业与农业融合度不高，主要体现在农业旅游融合载体发展缓慢，配套设施落后，精品民宿缺乏，乡村旅游产品项目虽已建成但未产生经济效益；二是服务业与工业融合度不高，主要体现在科技服务业、金融服务业、商务服务业等生产性服务业发展滞后；三是服务业行业间融合度不高，主要体现在旅游与商业间的联合互动不足，商业与旅游业之间相互支持相互带动的作用不强。</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szCs w:val="30"/>
        </w:rPr>
      </w:pPr>
      <w:bookmarkStart w:id="42" w:name="_Toc6606"/>
      <w:bookmarkStart w:id="43" w:name="_Toc25597"/>
      <w:bookmarkStart w:id="44" w:name="_Toc17246"/>
      <w:r>
        <w:rPr>
          <w:rFonts w:hint="eastAsia" w:ascii="仿宋_GB2312" w:hAnsi="仿宋_GB2312" w:eastAsia="仿宋_GB2312" w:cs="仿宋_GB2312"/>
          <w:szCs w:val="30"/>
          <w:lang w:val="en-US" w:eastAsia="zh-CN"/>
        </w:rPr>
        <w:t>4.</w:t>
      </w:r>
      <w:r>
        <w:rPr>
          <w:rFonts w:hint="eastAsia" w:ascii="仿宋_GB2312" w:hAnsi="仿宋_GB2312" w:eastAsia="仿宋_GB2312" w:cs="仿宋_GB2312"/>
          <w:szCs w:val="30"/>
        </w:rPr>
        <w:t>缺龙头企业带动，集聚效应不明显</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目前荥经服务业企业呈现小、散、乱的特征，龙头企业数量较少，2020年在全县7000多家在册服务业企业中规上限上服务业企业仅有40余家，对于规（限）上服务业的招引培育进展不顺利，荥经服务业企业缺乏领头羊的带动，集聚效应难以体现，也导致荥经对于周边地区辐射带动能力有限，是影响荥经服务业发展的瓶颈之一。</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b w:val="0"/>
          <w:bCs w:val="0"/>
          <w:sz w:val="32"/>
          <w:szCs w:val="32"/>
        </w:rPr>
      </w:pPr>
      <w:bookmarkStart w:id="45" w:name="_Toc131"/>
      <w:bookmarkStart w:id="46" w:name="_Toc2132"/>
      <w:bookmarkStart w:id="47" w:name="_Toc11993"/>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潜力优势</w:t>
      </w:r>
      <w:bookmarkEnd w:id="45"/>
      <w:bookmarkEnd w:id="46"/>
      <w:bookmarkEnd w:id="47"/>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48" w:name="_Toc17499"/>
      <w:bookmarkStart w:id="49" w:name="_Toc19373"/>
      <w:bookmarkStart w:id="50" w:name="_Toc9399"/>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区位交通优势</w:t>
      </w:r>
      <w:bookmarkEnd w:id="48"/>
      <w:bookmarkEnd w:id="49"/>
      <w:bookmarkEnd w:id="50"/>
    </w:p>
    <w:p>
      <w:pPr>
        <w:keepNext w:val="0"/>
        <w:keepLines w:val="0"/>
        <w:pageBreakBefore w:val="0"/>
        <w:kinsoku/>
        <w:wordWrap/>
        <w:overflowPunct/>
        <w:topLinePunct w:val="0"/>
        <w:autoSpaceDE/>
        <w:autoSpaceDN/>
        <w:bidi w:val="0"/>
        <w:adjustRightInd/>
        <w:snapToGrid/>
        <w:spacing w:beforeAutospacing="0" w:afterAutospacing="0"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区位条件优越</w:t>
      </w:r>
      <w:r>
        <w:rPr>
          <w:rFonts w:hint="eastAsia" w:ascii="仿宋_GB2312" w:hAnsi="仿宋_GB2312" w:eastAsia="仿宋_GB2312" w:cs="仿宋_GB2312"/>
        </w:rPr>
        <w:t>，荥经县位于四川盆地西部，距成都160公里，位于成都1.5小时经济圈内，处于成都都市圈向康藏等成渝核心区域向外围辐射、扩散的重要前沿区位，是成渝核心区向康藏辐射，连接甘阿凉的重要桥头堡和纽带，具有重要的战略地位与意义。荥经县紧邻雅安城区，距雅安仅需20分钟车程，属于雅安市域重点拓展区，是雅安向南进入汉源、石棉、西昌等川南区域的必经通道，是承接雅安功能外溢与区域产业转移的首选区域。</w:t>
      </w:r>
      <w:r>
        <w:rPr>
          <w:rFonts w:hint="eastAsia" w:ascii="仿宋_GB2312" w:hAnsi="仿宋_GB2312" w:eastAsia="仿宋_GB2312" w:cs="仿宋_GB2312"/>
          <w:b/>
          <w:bCs/>
        </w:rPr>
        <w:t>交通环境便利</w:t>
      </w:r>
      <w:r>
        <w:rPr>
          <w:rFonts w:hint="eastAsia" w:ascii="仿宋_GB2312" w:hAnsi="仿宋_GB2312" w:eastAsia="仿宋_GB2312" w:cs="仿宋_GB2312"/>
        </w:rPr>
        <w:t>，G5京昆高速公路、G108国道贯穿全境，形成了以高速公路为主体、国道省道为骨干、县乡道路为支撑、乐山岷江水路和成都双流航空港为拓展的综合道路交通网络。目前即将规划建设天府新区—雅安—天全—荥经高速公路、荥经—洪雅—峨眉高速公路、雅甘铁路（雅安—荥经—汉源—甘洛），完成后将进一步改善荥经县的交通条件。应利用好荥经优越的区位交通条件，把握周边资源条件与机遇，增强荥经服务业的辐射范围，努力把荥经建设成为成渝地区西向拓展重要节点。</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51" w:name="_Toc17034"/>
      <w:bookmarkStart w:id="52" w:name="_Toc355"/>
      <w:bookmarkStart w:id="53" w:name="_Toc21842"/>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二</w:t>
      </w:r>
      <w:r>
        <w:rPr>
          <w:rFonts w:hint="eastAsia" w:ascii="仿宋_GB2312" w:hAnsi="仿宋_GB2312" w:eastAsia="仿宋_GB2312" w:cs="仿宋_GB2312"/>
          <w:lang w:eastAsia="zh-CN"/>
        </w:rPr>
        <w:t>）</w:t>
      </w:r>
      <w:r>
        <w:rPr>
          <w:rFonts w:hint="eastAsia" w:ascii="仿宋_GB2312" w:hAnsi="仿宋_GB2312" w:eastAsia="仿宋_GB2312" w:cs="仿宋_GB2312"/>
        </w:rPr>
        <w:t>生态资源优势</w:t>
      </w:r>
      <w:bookmarkEnd w:id="51"/>
      <w:bookmarkEnd w:id="52"/>
      <w:bookmarkEnd w:id="53"/>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县生态资源优越，拥有龙苍沟国家级森林公园、大相岭自然保护区等重要生态屏障，2020年11月，在中国森林康养产业发展大会上，中国桌山（龙苍沟）被评为“全国森林康养基地试点建设单位”。荥经县生态资源优势主要体现在三方面，一是空气质量优越，有“天然氧吧”之称，全县常年负氧离子含量每小时达20000个/cm</w:t>
      </w:r>
      <w:r>
        <w:rPr>
          <w:rFonts w:hint="eastAsia" w:ascii="仿宋_GB2312" w:hAnsi="仿宋_GB2312" w:eastAsia="仿宋_GB2312" w:cs="仿宋_GB2312"/>
          <w:vertAlign w:val="superscript"/>
        </w:rPr>
        <w:t>3</w:t>
      </w:r>
      <w:r>
        <w:rPr>
          <w:rFonts w:hint="eastAsia" w:ascii="仿宋_GB2312" w:hAnsi="仿宋_GB2312" w:eastAsia="仿宋_GB2312" w:cs="仿宋_GB2312"/>
        </w:rPr>
        <w:t>，森林覆盖率达80.3%，位居全省第一，其中龙苍沟森林覆盖率更是高达98.6%。二是水环境质量优越，荥经县常年严格监控工业、农业污水处理工作，扎实推进水环境保护工作，荥经河出境断面水质长期保持在国家II类水域标准，经河河长制水质监测点水质达国家II类水域标准，其中多项指标达国家I类水域标准，全县15个集中式饮用水水源地水质达标率达100%。三是气候条件优越，荥经县地处川西平原向青藏高原过渡地带，属于典型的中纬度内陆亚热带湿润气候区，全年森林气候舒适温和，年均气温15.4度，可谓夏无酷暑，冬无严寒。荥经县优良宜人的生态环境条件使荥经成为了四川境内避暑、避寒、避霾、养老、养生、户外森林运动的理想目的地之一，具有发展森林康养、森林自然教育的天然优势，应当做好生态资源经济转型，积极推动森林康养和自然教育的配套设施建设，努力将荥经建设成为成渝地区高品质森林康养度假基地、成渝地区自然教育大本营。</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lang w:eastAsia="zh-CN"/>
        </w:rPr>
      </w:pPr>
      <w:bookmarkStart w:id="54" w:name="_Toc26892"/>
      <w:bookmarkStart w:id="55" w:name="_Toc14675"/>
      <w:bookmarkStart w:id="56" w:name="_Toc32177"/>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三</w:t>
      </w:r>
      <w:r>
        <w:rPr>
          <w:rFonts w:hint="eastAsia" w:ascii="仿宋_GB2312" w:hAnsi="仿宋_GB2312" w:eastAsia="仿宋_GB2312" w:cs="仿宋_GB2312"/>
          <w:lang w:eastAsia="zh-CN"/>
        </w:rPr>
        <w:t>）文旅资源优势</w:t>
      </w:r>
      <w:bookmarkEnd w:id="54"/>
      <w:bookmarkEnd w:id="55"/>
      <w:bookmarkEnd w:id="56"/>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县是四川省重点文化旅游目的地之一，文旅资源是荥经县服务业发展的重要支撑。荥经县拥有丰富多元、特色鲜明，优势突出的旅游资源，包括距离成都最近的国家级森林公园——龙苍沟森林公园、中国最美的观景平台——牛背山、西南片区最大的古桢楠林所在——云峰寺、何君尊楗阁摩崖刻石、茶马古道及其遗存、开善寺等48个一级旅游资源景观和84个二级旅游资源景观和众多三级、四级旅游资源景观。荥经文化资源基础厚重，经过悠久的历史沉淀，形成了</w:t>
      </w:r>
      <w:r>
        <w:rPr>
          <w:rFonts w:hint="eastAsia" w:ascii="仿宋_GB2312" w:hAnsi="仿宋_GB2312" w:eastAsia="仿宋_GB2312" w:cs="仿宋_GB2312"/>
          <w:color w:val="000000"/>
        </w:rPr>
        <w:t>黑砂文化、红色文化、熊猫文化、非遗文化</w:t>
      </w:r>
      <w:r>
        <w:rPr>
          <w:rFonts w:hint="eastAsia" w:ascii="仿宋_GB2312" w:hAnsi="仿宋_GB2312" w:eastAsia="仿宋_GB2312" w:cs="仿宋_GB2312"/>
        </w:rPr>
        <w:t>四大特色文化，拥有众多文物古迹和文化旅游资源，目前荥经县有文物保护单位36个，其中全国重点文物保护单位3处，省级文物保护单位4处，市级文物保护单位14个，包括严道古镇遗址、茶马古道遗址、荥经砂器古作坊遗址、新石器时代遗址、颛顼文化遗址、春秋战国巴蜀墓群遗址、严道邓通铸钱遗址等古遗迹。荥经县应充分利用优质多元，特色鲜明的文化旅游资源，将文旅资源转化为荥经经济发展动力，努力将荥经建设为社会主义核心价值观广泛践行、文化事业繁荣发展、文旅产业深度融合的文化高地，巴蜀文化旅游走廊重要目的地，文化强县旅游强县，为荥经创建天府旅游名县助力。</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57" w:name="_Toc905"/>
      <w:bookmarkStart w:id="58" w:name="_Toc15046"/>
      <w:bookmarkStart w:id="59" w:name="_Toc6756"/>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四</w:t>
      </w:r>
      <w:r>
        <w:rPr>
          <w:rFonts w:hint="eastAsia" w:ascii="仿宋_GB2312" w:hAnsi="仿宋_GB2312" w:eastAsia="仿宋_GB2312" w:cs="仿宋_GB2312"/>
          <w:lang w:eastAsia="zh-CN"/>
        </w:rPr>
        <w:t>）</w:t>
      </w:r>
      <w:r>
        <w:rPr>
          <w:rFonts w:hint="eastAsia" w:ascii="仿宋_GB2312" w:hAnsi="仿宋_GB2312" w:eastAsia="仿宋_GB2312" w:cs="仿宋_GB2312"/>
        </w:rPr>
        <w:t>农特产品优势</w:t>
      </w:r>
      <w:bookmarkEnd w:id="57"/>
      <w:bookmarkEnd w:id="58"/>
      <w:bookmarkEnd w:id="59"/>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荥经县建成了11万亩高山生态茶、50万亩林竹、10万亩中药材产业基地，打造了“高山有机茶、生态林竹果蔬、道地中药材”三条农业产业环线共34.5公里，已初步形成“万亩茶叶产业带”“万亩中药材产业带”“生猪生态养殖产业带”“果蔬产业带”。荥经特色农产品以生态有机、品质卓越的特点在市场上取得了较好的口碑，目前全县获得“三品一标”农产品总数达到58件，荥经天麻、塔山茶叶、三合蜂蜜分别获得国家农产品地理标志、有机食品和QS认证。应充分发挥荥经茶叶、中药材的优势地位作用，把握荥经建设高山生态有机茶产业基地机遇，发挥农业与服务业相互带动相互赋能的作用，推动农业与旅游、电子商务、商业贸易等服务业的融合发展。</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仿宋_GB2312" w:hAnsi="仿宋_GB2312" w:eastAsia="仿宋_GB2312" w:cs="仿宋_GB2312"/>
          <w:b w:val="0"/>
          <w:bCs w:val="0"/>
          <w:sz w:val="32"/>
          <w:szCs w:val="32"/>
        </w:rPr>
      </w:pPr>
      <w:bookmarkStart w:id="60" w:name="_Toc9904"/>
      <w:bookmarkStart w:id="61" w:name="_Toc15491"/>
      <w:bookmarkStart w:id="62" w:name="_Toc32041"/>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Hans"/>
        </w:rPr>
        <w:t>宏观</w:t>
      </w:r>
      <w:r>
        <w:rPr>
          <w:rFonts w:hint="eastAsia" w:ascii="黑体" w:hAnsi="黑体" w:eastAsia="黑体" w:cs="黑体"/>
          <w:b w:val="0"/>
          <w:bCs w:val="0"/>
          <w:sz w:val="32"/>
          <w:szCs w:val="32"/>
        </w:rPr>
        <w:t>形势</w:t>
      </w:r>
      <w:bookmarkEnd w:id="60"/>
      <w:bookmarkEnd w:id="61"/>
      <w:bookmarkEnd w:id="62"/>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63" w:name="_Toc15998"/>
      <w:bookmarkStart w:id="64" w:name="_Toc27993"/>
      <w:bookmarkStart w:id="65" w:name="_Toc23143"/>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国家形势</w:t>
      </w:r>
      <w:bookmarkEnd w:id="63"/>
      <w:bookmarkEnd w:id="64"/>
      <w:bookmarkEnd w:id="65"/>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szCs w:val="32"/>
          <w:lang w:bidi="ar"/>
        </w:rPr>
      </w:pPr>
      <w:r>
        <w:rPr>
          <w:rFonts w:hint="eastAsia" w:ascii="仿宋_GB2312" w:hAnsi="仿宋_GB2312" w:eastAsia="仿宋_GB2312" w:cs="仿宋_GB2312"/>
          <w:szCs w:val="32"/>
          <w:lang w:bidi="ar"/>
        </w:rPr>
        <w:t>十九大后，中国特色社会主义进入新时代，我国经济已由高速增长阶段转向高质量发展阶段，全国服务业高质量发展的政策导向更加突出。2019年10月，国家发展改革委、市场监管总局联合印发《关于新时代服务业高质量发展的指导意见》，从</w:t>
      </w:r>
      <w:r>
        <w:rPr>
          <w:rFonts w:hint="eastAsia" w:ascii="仿宋_GB2312" w:hAnsi="仿宋_GB2312" w:eastAsia="仿宋_GB2312" w:cs="仿宋_GB2312"/>
          <w:szCs w:val="32"/>
          <w:lang w:eastAsia="zh-Hans" w:bidi="ar"/>
        </w:rPr>
        <w:t>十</w:t>
      </w:r>
      <w:r>
        <w:rPr>
          <w:rFonts w:hint="eastAsia" w:ascii="仿宋_GB2312" w:hAnsi="仿宋_GB2312" w:eastAsia="仿宋_GB2312" w:cs="仿宋_GB2312"/>
          <w:szCs w:val="32"/>
          <w:lang w:bidi="ar"/>
        </w:rPr>
        <w:t>个方面推动新时代服务业高质量发展。2020年8月24日，习近平总书记在经济社会领域专家座谈会上提出要推动形成以国内大循环为主体、国内国际双循环相互促进的新发展格局。这个新发展格局是根据我国发展阶段、环境、条件变化提出来的，是重塑我国国际合作和竞争新优势的战略抉择。为顺应全国服务业发展新形势和以国内大循环为主体、国内国际双循环相互促进的新发展格局，荥经县应坚持新时代服务业的十大导向，适应国内外环境的新变化，从荥经自身优势条件出发，从而推动全县服务业高质量发展。</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66" w:name="_Toc31822"/>
      <w:bookmarkStart w:id="67" w:name="_Toc26727"/>
      <w:bookmarkStart w:id="68" w:name="_Toc7976"/>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二</w:t>
      </w:r>
      <w:r>
        <w:rPr>
          <w:rFonts w:hint="eastAsia" w:ascii="仿宋_GB2312" w:hAnsi="仿宋_GB2312" w:eastAsia="仿宋_GB2312" w:cs="仿宋_GB2312"/>
          <w:lang w:eastAsia="zh-CN"/>
        </w:rPr>
        <w:t>）</w:t>
      </w:r>
      <w:r>
        <w:rPr>
          <w:rFonts w:hint="eastAsia" w:ascii="仿宋_GB2312" w:hAnsi="仿宋_GB2312" w:eastAsia="仿宋_GB2312" w:cs="仿宋_GB2312"/>
        </w:rPr>
        <w:t>川渝形势</w:t>
      </w:r>
      <w:bookmarkEnd w:id="66"/>
      <w:bookmarkEnd w:id="67"/>
      <w:bookmarkEnd w:id="68"/>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szCs w:val="32"/>
          <w:lang w:bidi="ar"/>
        </w:rPr>
        <w:t>2020年10月16日，中共中央政治局召开会议，审议《成渝地区双城经济圈建设规划纲要》。中共中央总书记习近平主持会议。会议指出当前我国发展的国内国际环境继续发生深刻复杂变化，推动成渝地区双城经济圈建设，有利于形成优势互补、高质量发展的区域经济布局，有利于拓展市场空间、优化和稳定产业链供应链，是构建以国内大循环为主体、国内国际双循环相互促进的新发展格局的一项重大举措。</w:t>
      </w:r>
      <w:r>
        <w:rPr>
          <w:rFonts w:hint="eastAsia" w:ascii="仿宋_GB2312" w:hAnsi="仿宋_GB2312" w:eastAsia="仿宋_GB2312" w:cs="仿宋_GB2312"/>
        </w:rPr>
        <w:t>2021年12月《四川省“十四五”服务业发展规划》正式发布，在继续推进</w:t>
      </w:r>
      <w:r>
        <w:rPr>
          <w:rFonts w:hint="eastAsia" w:ascii="仿宋_GB2312" w:hAnsi="仿宋_GB2312" w:eastAsia="仿宋_GB2312" w:cs="仿宋_GB2312"/>
          <w:bCs/>
          <w:color w:val="000000" w:themeColor="text1"/>
          <w14:textFill>
            <w14:solidFill>
              <w14:schemeClr w14:val="tx1"/>
            </w14:solidFill>
          </w14:textFill>
        </w:rPr>
        <w:t>“4+6”现代服务业体系基础上，</w:t>
      </w:r>
      <w:r>
        <w:rPr>
          <w:rFonts w:hint="eastAsia" w:ascii="仿宋_GB2312" w:hAnsi="仿宋_GB2312" w:eastAsia="仿宋_GB2312" w:cs="仿宋_GB2312"/>
        </w:rPr>
        <w:t>到2025年累计培育50个以上的省级服务业强县(市、区)，省级现代服务业集聚区60个以上，同时强化创新驱动赋能，提高服务供给质量，推动产业融合发展。</w:t>
      </w:r>
      <w:r>
        <w:rPr>
          <w:rFonts w:hint="eastAsia" w:ascii="仿宋_GB2312" w:hAnsi="仿宋_GB2312" w:eastAsia="仿宋_GB2312" w:cs="仿宋_GB2312"/>
          <w:lang w:val="en-US" w:eastAsia="zh-CN"/>
        </w:rPr>
        <w:t>2022年5月，</w:t>
      </w:r>
      <w:r>
        <w:rPr>
          <w:rFonts w:hint="eastAsia" w:ascii="仿宋_GB2312" w:hAnsi="仿宋_GB2312" w:eastAsia="仿宋_GB2312" w:cs="仿宋_GB2312"/>
        </w:rPr>
        <w:t>中国共产党四川省第十二次代表大会</w:t>
      </w:r>
      <w:r>
        <w:rPr>
          <w:rFonts w:hint="eastAsia" w:ascii="仿宋_GB2312" w:hAnsi="仿宋_GB2312" w:eastAsia="仿宋_GB2312" w:cs="仿宋_GB2312"/>
          <w:lang w:val="en-US" w:eastAsia="zh-CN"/>
        </w:rPr>
        <w:t>胜利召开，未来五年是</w:t>
      </w:r>
      <w:r>
        <w:rPr>
          <w:rFonts w:hint="eastAsia" w:ascii="仿宋_GB2312" w:hAnsi="仿宋_GB2312" w:eastAsia="仿宋_GB2312" w:cs="仿宋_GB2312"/>
        </w:rPr>
        <w:t>推动新时代治蜀兴川再上新台阶</w:t>
      </w:r>
      <w:r>
        <w:rPr>
          <w:rFonts w:hint="eastAsia" w:ascii="仿宋_GB2312" w:hAnsi="仿宋_GB2312" w:eastAsia="仿宋_GB2312" w:cs="仿宋_GB2312"/>
          <w:lang w:eastAsia="zh-CN"/>
        </w:rPr>
        <w:t>、</w:t>
      </w:r>
      <w:r>
        <w:rPr>
          <w:rFonts w:hint="eastAsia" w:ascii="仿宋_GB2312" w:hAnsi="仿宋_GB2312" w:eastAsia="仿宋_GB2312" w:cs="仿宋_GB2312"/>
        </w:rPr>
        <w:t>奋力谱写全面建设社会主义现代化四川新篇章</w:t>
      </w:r>
      <w:r>
        <w:rPr>
          <w:rFonts w:hint="eastAsia" w:ascii="仿宋_GB2312" w:hAnsi="仿宋_GB2312" w:eastAsia="仿宋_GB2312" w:cs="仿宋_GB2312"/>
          <w:lang w:val="en-US" w:eastAsia="zh-CN"/>
        </w:rPr>
        <w:t>的关键时期。</w:t>
      </w:r>
      <w:r>
        <w:rPr>
          <w:rFonts w:hint="eastAsia" w:ascii="仿宋_GB2312" w:hAnsi="仿宋_GB2312" w:eastAsia="仿宋_GB2312" w:cs="仿宋_GB2312"/>
          <w:szCs w:val="32"/>
          <w:lang w:bidi="ar"/>
        </w:rPr>
        <w:t>荥经县应抢抓发展机遇，顺应全省服务业发展新形势，充分利用自身优势，着力构建高质量发展的服务业产业体系。</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69" w:name="_Toc10895"/>
      <w:bookmarkStart w:id="70" w:name="_Toc32360"/>
      <w:bookmarkStart w:id="71" w:name="_Toc5318"/>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三</w:t>
      </w:r>
      <w:r>
        <w:rPr>
          <w:rFonts w:hint="eastAsia" w:ascii="仿宋_GB2312" w:hAnsi="仿宋_GB2312" w:eastAsia="仿宋_GB2312" w:cs="仿宋_GB2312"/>
          <w:lang w:eastAsia="zh-CN"/>
        </w:rPr>
        <w:t>）</w:t>
      </w:r>
      <w:r>
        <w:rPr>
          <w:rFonts w:hint="eastAsia" w:ascii="仿宋_GB2312" w:hAnsi="仿宋_GB2312" w:eastAsia="仿宋_GB2312" w:cs="仿宋_GB2312"/>
        </w:rPr>
        <w:t>雅安形势</w:t>
      </w:r>
      <w:bookmarkEnd w:id="69"/>
      <w:bookmarkEnd w:id="70"/>
      <w:bookmarkEnd w:id="71"/>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kern w:val="0"/>
          <w:szCs w:val="32"/>
          <w:lang w:bidi="ar"/>
        </w:rPr>
      </w:pPr>
      <w:r>
        <w:rPr>
          <w:rFonts w:hint="eastAsia" w:ascii="仿宋_GB2312" w:hAnsi="仿宋_GB2312" w:eastAsia="仿宋_GB2312" w:cs="仿宋_GB2312"/>
          <w:kern w:val="0"/>
          <w:szCs w:val="32"/>
          <w:lang w:bidi="ar"/>
        </w:rPr>
        <w:t>新形势下，雅安在全国全省发展大局中突出比较优势、找准自身定位，加快建设长江上游生态高地、全省西向拓展开放高地、成渝地区双城经济圈绿色产业发展高地“三个高地”，大力发展生态经济、门户经济、数字经济、共享经济“四大经济”，</w:t>
      </w:r>
      <w:r>
        <w:rPr>
          <w:rFonts w:hint="eastAsia" w:ascii="仿宋_GB2312" w:hAnsi="仿宋_GB2312" w:eastAsia="仿宋_GB2312" w:cs="仿宋_GB2312"/>
          <w:b w:val="0"/>
          <w:bCs w:val="0"/>
          <w:color w:val="000000"/>
          <w:sz w:val="32"/>
          <w:szCs w:val="32"/>
        </w:rPr>
        <w:t>加快建设川藏铁路第一城、绿色发展示范市</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kern w:val="0"/>
          <w:szCs w:val="32"/>
          <w:lang w:bidi="ar"/>
        </w:rPr>
        <w:t>充分把雅安的生态优势、区位优势、资源优势转化为经济优势、发展优势。同时，雅安市正着力构建“4+6”现代服务业体系，建设现代服务业强</w:t>
      </w:r>
      <w:r>
        <w:rPr>
          <w:rFonts w:hint="eastAsia" w:ascii="仿宋_GB2312" w:hAnsi="仿宋_GB2312" w:eastAsia="仿宋_GB2312" w:cs="仿宋_GB2312"/>
          <w:szCs w:val="32"/>
          <w:lang w:bidi="ar"/>
        </w:rPr>
        <w:t>市。荥经县应充分利用自身优势，走出一条现代服务业特色发展之路，凸显在全市服务业发展大局中的独特地位。</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jc w:val="both"/>
        <w:textAlignment w:val="auto"/>
        <w:rPr>
          <w:rFonts w:hint="eastAsia" w:ascii="仿宋_GB2312" w:hAnsi="仿宋_GB2312" w:eastAsia="仿宋_GB2312" w:cs="仿宋_GB2312"/>
        </w:rPr>
      </w:pPr>
      <w:bookmarkStart w:id="72" w:name="_Toc19146"/>
      <w:bookmarkStart w:id="73" w:name="_Toc17054"/>
      <w:bookmarkStart w:id="74" w:name="_Toc10453"/>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四</w:t>
      </w:r>
      <w:r>
        <w:rPr>
          <w:rFonts w:hint="eastAsia" w:ascii="仿宋_GB2312" w:hAnsi="仿宋_GB2312" w:eastAsia="仿宋_GB2312" w:cs="仿宋_GB2312"/>
          <w:lang w:eastAsia="zh-CN"/>
        </w:rPr>
        <w:t>）</w:t>
      </w:r>
      <w:r>
        <w:rPr>
          <w:rFonts w:hint="eastAsia" w:ascii="仿宋_GB2312" w:hAnsi="仿宋_GB2312" w:eastAsia="仿宋_GB2312" w:cs="仿宋_GB2312"/>
        </w:rPr>
        <w:t>荥经形势</w:t>
      </w:r>
      <w:bookmarkEnd w:id="72"/>
      <w:bookmarkEnd w:id="73"/>
      <w:bookmarkEnd w:id="74"/>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hint="eastAsia" w:ascii="仿宋_GB2312" w:hAnsi="仿宋_GB2312" w:eastAsia="仿宋_GB2312" w:cs="仿宋_GB2312"/>
          <w:szCs w:val="32"/>
          <w:lang w:val="en-US" w:eastAsia="zh-CN" w:bidi="ar"/>
        </w:rPr>
      </w:pPr>
      <w:r>
        <w:rPr>
          <w:rFonts w:hint="eastAsia" w:ascii="仿宋_GB2312" w:hAnsi="仿宋_GB2312" w:eastAsia="仿宋_GB2312" w:cs="仿宋_GB2312"/>
          <w:szCs w:val="32"/>
          <w:lang w:bidi="ar"/>
        </w:rPr>
        <w:t>荥经县“十四五”经济社会发展以建成“中国黑砂城、‘两山’示范区”为目标，</w:t>
      </w:r>
      <w:r>
        <w:rPr>
          <w:rFonts w:hint="eastAsia" w:ascii="仿宋_GB2312" w:hAnsi="仿宋_GB2312" w:eastAsia="仿宋_GB2312" w:cs="仿宋_GB2312"/>
          <w:b w:val="0"/>
          <w:bCs w:val="0"/>
          <w:color w:val="000000"/>
          <w:sz w:val="32"/>
          <w:szCs w:val="32"/>
        </w:rPr>
        <w:t>以打好城市建设、交通建设、环境治理“三大会战”为抓手，全面改进城市建设管理，建成名副其实的中国黑砂城</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打响“千年严道·清雅荥经”城市名片</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全面推动天府旅游名县、全省服务业强县、全省乡村振兴先进县、全省县域经济发展先进县“四个创建”，加快建设“两山”示范区。</w:t>
      </w:r>
      <w:r>
        <w:rPr>
          <w:rFonts w:hint="eastAsia" w:ascii="仿宋_GB2312" w:hAnsi="仿宋_GB2312" w:eastAsia="仿宋_GB2312" w:cs="仿宋_GB2312"/>
          <w:b w:val="0"/>
          <w:bCs w:val="0"/>
          <w:color w:val="000000"/>
          <w:sz w:val="32"/>
          <w:szCs w:val="32"/>
          <w:lang w:val="en-US" w:eastAsia="zh-CN"/>
        </w:rPr>
        <w:t>荥经县服务业应着力构建以“五游荥经”体系为基础，以现代物流、电子商务、总部经济等为特色的现代服务业体系，加快建成</w:t>
      </w:r>
      <w:r>
        <w:rPr>
          <w:rFonts w:hint="eastAsia" w:ascii="仿宋_GB2312" w:hAnsi="仿宋_GB2312" w:eastAsia="仿宋_GB2312" w:cs="仿宋_GB2312"/>
          <w:b w:val="0"/>
          <w:bCs w:val="0"/>
          <w:color w:val="000000"/>
          <w:sz w:val="32"/>
          <w:szCs w:val="32"/>
          <w:lang w:eastAsia="zh-CN"/>
        </w:rPr>
        <w:t>“三山一城”四大景区，</w:t>
      </w:r>
      <w:r>
        <w:rPr>
          <w:rFonts w:hint="eastAsia" w:ascii="仿宋_GB2312" w:hAnsi="仿宋_GB2312" w:eastAsia="仿宋_GB2312" w:cs="仿宋_GB2312"/>
          <w:b w:val="0"/>
          <w:bCs w:val="0"/>
          <w:color w:val="000000"/>
          <w:sz w:val="32"/>
          <w:szCs w:val="32"/>
          <w:lang w:val="en-US" w:eastAsia="zh-CN"/>
        </w:rPr>
        <w:t>持续打造鸿林新城特色餐饮区、尚品国际休闲文化区、两河新商贸流通区等大商圈，</w:t>
      </w:r>
      <w:r>
        <w:rPr>
          <w:rFonts w:hint="eastAsia" w:ascii="仿宋_GB2312" w:hAnsi="仿宋_GB2312" w:eastAsia="仿宋_GB2312" w:cs="仿宋_GB2312"/>
          <w:szCs w:val="32"/>
          <w:lang w:val="en-US" w:eastAsia="zh-CN" w:bidi="ar"/>
        </w:rPr>
        <w:t>推动全县服务业高质量跨越发展。</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jc w:val="both"/>
        <w:textAlignment w:val="auto"/>
        <w:rPr>
          <w:rFonts w:hint="eastAsia" w:ascii="黑体" w:hAnsi="黑体" w:eastAsia="黑体" w:cs="黑体"/>
          <w:b w:val="0"/>
          <w:bCs w:val="0"/>
          <w:sz w:val="32"/>
          <w:szCs w:val="32"/>
        </w:rPr>
      </w:pPr>
      <w:bookmarkStart w:id="75" w:name="_Toc7921"/>
      <w:bookmarkStart w:id="76" w:name="_Toc2839"/>
      <w:bookmarkStart w:id="77" w:name="_Toc13674"/>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总体</w:t>
      </w:r>
      <w:bookmarkEnd w:id="75"/>
      <w:r>
        <w:rPr>
          <w:rFonts w:hint="eastAsia" w:ascii="黑体" w:hAnsi="黑体" w:eastAsia="黑体" w:cs="黑体"/>
          <w:b w:val="0"/>
          <w:bCs w:val="0"/>
          <w:sz w:val="32"/>
          <w:szCs w:val="32"/>
        </w:rPr>
        <w:t>判断</w:t>
      </w:r>
      <w:bookmarkEnd w:id="76"/>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left"/>
        <w:textAlignment w:val="auto"/>
        <w:rPr>
          <w:rFonts w:hint="eastAsia" w:ascii="仿宋_GB2312" w:hAnsi="仿宋_GB2312" w:eastAsia="仿宋_GB2312" w:cs="仿宋_GB2312"/>
        </w:rPr>
      </w:pPr>
      <w:r>
        <w:rPr>
          <w:rFonts w:hint="eastAsia" w:ascii="仿宋_GB2312" w:hAnsi="仿宋_GB2312" w:eastAsia="仿宋_GB2312" w:cs="仿宋_GB2312"/>
        </w:rPr>
        <w:t>根据对荥经县服务业发展现状、存在短板、潜力优势、政策形势的研究，对荥经县服务业的发展得出了一个总体判断：荥经县服务业发展总体分为三个阶段，即因必经通道而兴盛阶段，因快速过境而衰减阶段，因</w:t>
      </w:r>
      <w:r>
        <w:rPr>
          <w:rFonts w:hint="eastAsia" w:ascii="仿宋_GB2312" w:hAnsi="仿宋_GB2312" w:eastAsia="仿宋_GB2312" w:cs="仿宋_GB2312"/>
          <w:lang w:val="en-US" w:eastAsia="zh-CN"/>
        </w:rPr>
        <w:t>绿色发展</w:t>
      </w:r>
      <w:r>
        <w:rPr>
          <w:rFonts w:hint="eastAsia" w:ascii="仿宋_GB2312" w:hAnsi="仿宋_GB2312" w:eastAsia="仿宋_GB2312" w:cs="仿宋_GB2312"/>
        </w:rPr>
        <w:t>而崛起阶段。</w:t>
      </w:r>
    </w:p>
    <w:p>
      <w:pPr>
        <w:keepNext w:val="0"/>
        <w:keepLines w:val="0"/>
        <w:pageBreakBefore w:val="0"/>
        <w:kinsoku/>
        <w:wordWrap/>
        <w:overflowPunct/>
        <w:topLinePunct w:val="0"/>
        <w:autoSpaceDE/>
        <w:autoSpaceDN/>
        <w:bidi w:val="0"/>
        <w:adjustRightInd/>
        <w:snapToGrid/>
        <w:spacing w:beforeAutospacing="0" w:afterAutospacing="0" w:line="576" w:lineRule="exact"/>
        <w:ind w:firstLine="643"/>
        <w:jc w:val="left"/>
        <w:textAlignment w:val="auto"/>
        <w:rPr>
          <w:rFonts w:hint="eastAsia" w:ascii="仿宋_GB2312" w:hAnsi="仿宋_GB2312" w:eastAsia="仿宋_GB2312" w:cs="仿宋_GB2312"/>
        </w:rPr>
      </w:pPr>
      <w:r>
        <w:rPr>
          <w:rFonts w:hint="eastAsia" w:ascii="仿宋_GB2312" w:hAnsi="仿宋_GB2312" w:eastAsia="仿宋_GB2312" w:cs="仿宋_GB2312"/>
          <w:b/>
          <w:bCs/>
        </w:rPr>
        <w:t>第一阶段（过去）：因必经通道而兴盛。</w:t>
      </w:r>
      <w:r>
        <w:rPr>
          <w:rFonts w:hint="eastAsia" w:ascii="仿宋_GB2312" w:hAnsi="仿宋_GB2312" w:eastAsia="仿宋_GB2312" w:cs="仿宋_GB2312"/>
          <w:lang w:val="en-US" w:eastAsia="zh-CN"/>
        </w:rPr>
        <w:t>该阶段</w:t>
      </w:r>
      <w:r>
        <w:rPr>
          <w:rFonts w:hint="eastAsia" w:ascii="仿宋_GB2312" w:hAnsi="仿宋_GB2312" w:eastAsia="仿宋_GB2312" w:cs="仿宋_GB2312"/>
        </w:rPr>
        <w:t>是过去荥经县</w:t>
      </w:r>
      <w:r>
        <w:rPr>
          <w:rFonts w:hint="eastAsia" w:ascii="仿宋_GB2312" w:hAnsi="仿宋_GB2312" w:eastAsia="仿宋_GB2312" w:cs="仿宋_GB2312"/>
          <w:lang w:val="en-US" w:eastAsia="zh-CN"/>
        </w:rPr>
        <w:t>服务业</w:t>
      </w:r>
      <w:r>
        <w:rPr>
          <w:rFonts w:hint="eastAsia" w:ascii="仿宋_GB2312" w:hAnsi="仿宋_GB2312" w:eastAsia="仿宋_GB2312" w:cs="仿宋_GB2312"/>
        </w:rPr>
        <w:t>经历的阶段，京昆高速通车以前荥经县是通往攀西地区的必经之路，巨大的人流量和车流量在荥经停留、消费，快速推动了荥经县餐饮、住宿、购物、旅游等业态发展，服务业呈现欣欣向荣的景象。</w:t>
      </w:r>
    </w:p>
    <w:p>
      <w:pPr>
        <w:keepNext w:val="0"/>
        <w:keepLines w:val="0"/>
        <w:pageBreakBefore w:val="0"/>
        <w:kinsoku/>
        <w:wordWrap/>
        <w:overflowPunct/>
        <w:topLinePunct w:val="0"/>
        <w:autoSpaceDE/>
        <w:autoSpaceDN/>
        <w:bidi w:val="0"/>
        <w:adjustRightInd/>
        <w:snapToGrid/>
        <w:spacing w:beforeAutospacing="0" w:afterAutospacing="0"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第二阶段（现在）：因快速过境而衰减。</w:t>
      </w:r>
      <w:r>
        <w:rPr>
          <w:rFonts w:hint="eastAsia" w:ascii="仿宋_GB2312" w:hAnsi="仿宋_GB2312" w:eastAsia="仿宋_GB2312" w:cs="仿宋_GB2312"/>
          <w:lang w:val="en-US" w:eastAsia="zh-CN"/>
        </w:rPr>
        <w:t>该阶段</w:t>
      </w:r>
      <w:r>
        <w:rPr>
          <w:rFonts w:hint="eastAsia" w:ascii="仿宋_GB2312" w:hAnsi="仿宋_GB2312" w:eastAsia="仿宋_GB2312" w:cs="仿宋_GB2312"/>
        </w:rPr>
        <w:t>是荥经县</w:t>
      </w:r>
      <w:r>
        <w:rPr>
          <w:rFonts w:hint="eastAsia" w:ascii="仿宋_GB2312" w:hAnsi="仿宋_GB2312" w:eastAsia="仿宋_GB2312" w:cs="仿宋_GB2312"/>
          <w:lang w:val="en-US" w:eastAsia="zh-CN"/>
        </w:rPr>
        <w:t>服务业</w:t>
      </w:r>
      <w:r>
        <w:rPr>
          <w:rFonts w:hint="eastAsia" w:ascii="仿宋_GB2312" w:hAnsi="仿宋_GB2312" w:eastAsia="仿宋_GB2312" w:cs="仿宋_GB2312"/>
        </w:rPr>
        <w:t>目前正经历的阶段，京昆高速通车以后，为荥经县带来了新的发展机遇，但荥经县在享受交通便捷带来的可达性、串联性提升的同时，也面临着人口、技术、信息、资本等经济要素从沿途经过甚至向核心城市单方向转移的现象，呈现出过道效应甚至虹吸效应。同时也加剧了与周边区县的竞争，由于荥经的服务业品质不高、品牌效应不突出，自身缺乏对外吸引力，过境的人流、车流很多被周边区县吸引，如汉源县、石棉县等。</w:t>
      </w:r>
    </w:p>
    <w:p>
      <w:pPr>
        <w:keepNext w:val="0"/>
        <w:keepLines w:val="0"/>
        <w:pageBreakBefore w:val="0"/>
        <w:kinsoku/>
        <w:wordWrap/>
        <w:overflowPunct/>
        <w:topLinePunct w:val="0"/>
        <w:autoSpaceDE/>
        <w:autoSpaceDN/>
        <w:bidi w:val="0"/>
        <w:adjustRightInd/>
        <w:snapToGrid/>
        <w:spacing w:beforeAutospacing="0" w:afterAutospacing="0" w:line="576" w:lineRule="exact"/>
        <w:ind w:firstLine="643"/>
        <w:jc w:val="both"/>
        <w:textAlignment w:val="auto"/>
        <w:rPr>
          <w:rFonts w:cs="Times New Roman"/>
        </w:rPr>
      </w:pPr>
      <w:r>
        <w:rPr>
          <w:rFonts w:cs="Times New Roman"/>
          <w:b/>
          <w:bCs/>
        </w:rPr>
        <w:t>第三阶段（未来）：因</w:t>
      </w:r>
      <w:r>
        <w:rPr>
          <w:rFonts w:hint="eastAsia" w:cs="Times New Roman"/>
          <w:b/>
          <w:bCs/>
          <w:lang w:val="en-US" w:eastAsia="zh-CN"/>
        </w:rPr>
        <w:t>绿色发展</w:t>
      </w:r>
      <w:r>
        <w:rPr>
          <w:rFonts w:cs="Times New Roman"/>
          <w:b/>
          <w:bCs/>
        </w:rPr>
        <w:t>而崛起。</w:t>
      </w:r>
      <w:r>
        <w:rPr>
          <w:rFonts w:hint="eastAsia" w:cs="Times New Roman"/>
          <w:lang w:val="en-US" w:eastAsia="zh-CN"/>
        </w:rPr>
        <w:t>该阶段</w:t>
      </w:r>
      <w:r>
        <w:rPr>
          <w:rFonts w:cs="Times New Roman"/>
        </w:rPr>
        <w:t>是荥经县</w:t>
      </w:r>
      <w:r>
        <w:rPr>
          <w:rFonts w:hint="eastAsia" w:cs="Times New Roman"/>
          <w:lang w:val="en-US" w:eastAsia="zh-CN"/>
        </w:rPr>
        <w:t>服务业未来发展面临</w:t>
      </w:r>
      <w:r>
        <w:rPr>
          <w:rFonts w:cs="Times New Roman"/>
        </w:rPr>
        <w:t>的阶段</w:t>
      </w:r>
      <w:r>
        <w:rPr>
          <w:rFonts w:hint="eastAsia" w:cs="Times New Roman"/>
          <w:lang w:eastAsia="zh-CN"/>
        </w:rPr>
        <w:t>，</w:t>
      </w:r>
      <w:r>
        <w:rPr>
          <w:rFonts w:hint="eastAsia" w:ascii="仿宋_GB2312" w:hAnsi="仿宋_GB2312" w:eastAsia="仿宋_GB2312" w:cs="仿宋_GB2312"/>
          <w:b w:val="0"/>
          <w:bCs w:val="0"/>
          <w:color w:val="000000"/>
          <w:sz w:val="32"/>
          <w:szCs w:val="32"/>
        </w:rPr>
        <w:t>始终践行“绿水青山就是金山银山”理念，巩固荒山变青山的生态保护成果，加快推进生态价值转化实现青山变金山，坚持以产业培育为核心支撑，加快建设</w:t>
      </w:r>
      <w:r>
        <w:rPr>
          <w:rFonts w:hint="eastAsia" w:ascii="仿宋_GB2312" w:hAnsi="仿宋_GB2312" w:eastAsia="仿宋_GB2312" w:cs="仿宋_GB2312"/>
          <w:b w:val="0"/>
          <w:bCs w:val="0"/>
          <w:color w:val="000000"/>
          <w:sz w:val="32"/>
          <w:szCs w:val="32"/>
          <w:lang w:val="en-US" w:eastAsia="zh-CN"/>
        </w:rPr>
        <w:t>“中国黑砂城、‘两山’示范区”</w:t>
      </w:r>
      <w:r>
        <w:rPr>
          <w:rFonts w:hint="eastAsia" w:ascii="仿宋_GB2312" w:hAnsi="仿宋_GB2312" w:eastAsia="仿宋_GB2312" w:cs="仿宋_GB2312"/>
          <w:b w:val="0"/>
          <w:bCs w:val="0"/>
          <w:color w:val="000000"/>
          <w:sz w:val="32"/>
          <w:szCs w:val="32"/>
        </w:rPr>
        <w:t>，积极创建天府旅游名县、全省服务业强县、全省乡村振兴先进县、全省县域经济发展先进县</w:t>
      </w:r>
      <w:r>
        <w:rPr>
          <w:rFonts w:hint="eastAsia" w:ascii="仿宋_GB2312" w:hAnsi="仿宋_GB2312" w:cs="仿宋_GB2312"/>
          <w:b w:val="0"/>
          <w:bCs w:val="0"/>
          <w:color w:val="000000"/>
          <w:sz w:val="32"/>
          <w:szCs w:val="32"/>
          <w:lang w:eastAsia="zh-CN"/>
        </w:rPr>
        <w:t>，</w:t>
      </w:r>
      <w:r>
        <w:rPr>
          <w:rFonts w:hint="eastAsia" w:ascii="仿宋_GB2312" w:hAnsi="仿宋_GB2312" w:cs="仿宋_GB2312"/>
          <w:b w:val="0"/>
          <w:bCs w:val="0"/>
          <w:color w:val="000000"/>
          <w:sz w:val="32"/>
          <w:szCs w:val="32"/>
          <w:lang w:val="en-US" w:eastAsia="zh-CN"/>
        </w:rPr>
        <w:t>将</w:t>
      </w:r>
      <w:r>
        <w:rPr>
          <w:rFonts w:cs="Times New Roman"/>
        </w:rPr>
        <w:t>实现</w:t>
      </w:r>
      <w:r>
        <w:rPr>
          <w:rFonts w:hint="eastAsia" w:cs="Times New Roman"/>
          <w:lang w:val="en-US" w:eastAsia="zh-CN"/>
        </w:rPr>
        <w:t>荥经县</w:t>
      </w:r>
      <w:r>
        <w:rPr>
          <w:rFonts w:cs="Times New Roman"/>
        </w:rPr>
        <w:t>服务业的突破发展。</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ascii="Times New Roman" w:hAnsi="Times New Roman" w:cs="Times New Roman"/>
          <w:b w:val="0"/>
          <w:bCs w:val="0"/>
          <w:sz w:val="32"/>
          <w:szCs w:val="32"/>
        </w:rPr>
      </w:pPr>
      <w:bookmarkStart w:id="78" w:name="_Toc28243"/>
      <w:bookmarkStart w:id="79" w:name="_Toc27748"/>
      <w:r>
        <w:rPr>
          <w:rFonts w:hint="eastAsia" w:ascii="Times New Roman" w:hAnsi="Times New Roman" w:cs="Times New Roman"/>
          <w:b w:val="0"/>
          <w:bCs w:val="0"/>
          <w:sz w:val="32"/>
          <w:szCs w:val="32"/>
          <w:lang w:val="en-US" w:eastAsia="zh-CN"/>
        </w:rPr>
        <w:t>六、</w:t>
      </w:r>
      <w:r>
        <w:rPr>
          <w:rFonts w:ascii="Times New Roman" w:hAnsi="Times New Roman" w:cs="Times New Roman"/>
          <w:b w:val="0"/>
          <w:bCs w:val="0"/>
          <w:sz w:val="32"/>
          <w:szCs w:val="32"/>
        </w:rPr>
        <w:t>发展要求</w:t>
      </w:r>
      <w:bookmarkEnd w:id="77"/>
      <w:bookmarkEnd w:id="78"/>
      <w:bookmarkEnd w:id="79"/>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textAlignment w:val="auto"/>
        <w:rPr>
          <w:rFonts w:cs="Times New Roman"/>
        </w:rPr>
      </w:pPr>
      <w:bookmarkStart w:id="80" w:name="_Toc1256"/>
      <w:bookmarkStart w:id="81" w:name="_Toc13985"/>
      <w:bookmarkStart w:id="82" w:name="_Toc457"/>
      <w:r>
        <w:rPr>
          <w:rFonts w:hint="eastAsia" w:cs="Times New Roman"/>
          <w:lang w:eastAsia="zh-CN"/>
        </w:rPr>
        <w:t>（</w:t>
      </w:r>
      <w:r>
        <w:rPr>
          <w:rFonts w:hint="eastAsia" w:cs="Times New Roman"/>
          <w:lang w:val="en-US" w:eastAsia="zh-CN"/>
        </w:rPr>
        <w:t>一</w:t>
      </w:r>
      <w:r>
        <w:rPr>
          <w:rFonts w:hint="eastAsia" w:cs="Times New Roman"/>
          <w:lang w:eastAsia="zh-CN"/>
        </w:rPr>
        <w:t>）</w:t>
      </w:r>
      <w:r>
        <w:rPr>
          <w:rFonts w:cs="Times New Roman"/>
        </w:rPr>
        <w:t>指导思想</w:t>
      </w:r>
      <w:bookmarkEnd w:id="80"/>
      <w:bookmarkEnd w:id="81"/>
      <w:bookmarkEnd w:id="82"/>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lang w:bidi="ar"/>
        </w:rPr>
        <w:t>坚持以习近平新时代中国特色社会主义思想为指导，认真落实中央、省委、市委、县委决策部署，</w:t>
      </w:r>
      <w:r>
        <w:rPr>
          <w:rFonts w:hint="eastAsia" w:cs="Times New Roman"/>
          <w:lang w:val="en-US" w:eastAsia="zh-CN" w:bidi="ar"/>
        </w:rPr>
        <w:t>以</w:t>
      </w:r>
      <w:r>
        <w:rPr>
          <w:rFonts w:hint="eastAsia" w:ascii="仿宋_GB2312" w:hAnsi="仿宋_GB2312" w:eastAsia="仿宋_GB2312" w:cs="仿宋_GB2312"/>
          <w:b w:val="0"/>
          <w:bCs w:val="0"/>
          <w:color w:val="000000"/>
          <w:sz w:val="32"/>
          <w:szCs w:val="32"/>
        </w:rPr>
        <w:t>建成“中国黑砂城、‘两山’示范区”</w:t>
      </w:r>
      <w:r>
        <w:rPr>
          <w:rFonts w:hint="eastAsia" w:ascii="仿宋_GB2312" w:hAnsi="仿宋_GB2312" w:cs="仿宋_GB2312"/>
          <w:b w:val="0"/>
          <w:bCs w:val="0"/>
          <w:color w:val="000000"/>
          <w:sz w:val="32"/>
          <w:szCs w:val="32"/>
          <w:lang w:val="en-US" w:eastAsia="zh-CN"/>
        </w:rPr>
        <w:t>为总牵引，</w:t>
      </w:r>
      <w:r>
        <w:rPr>
          <w:rFonts w:hint="eastAsia" w:cs="Times New Roman"/>
          <w:lang w:bidi="ar"/>
        </w:rPr>
        <w:t>立足新发展阶段，完整、准确、全面贯彻新发展理念，服务和融入新发展格局，</w:t>
      </w:r>
      <w:r>
        <w:rPr>
          <w:rFonts w:hint="eastAsia" w:cs="Times New Roman"/>
          <w:lang w:val="en-US" w:eastAsia="zh-CN" w:bidi="ar"/>
        </w:rPr>
        <w:t>着力</w:t>
      </w:r>
      <w:r>
        <w:rPr>
          <w:rFonts w:cs="Times New Roman"/>
          <w:lang w:bidi="ar"/>
        </w:rPr>
        <w:t>构建“3+3”现代服务业新体系，</w:t>
      </w:r>
      <w:r>
        <w:rPr>
          <w:rFonts w:cs="Times New Roman"/>
          <w:szCs w:val="32"/>
          <w:lang w:bidi="ar"/>
        </w:rPr>
        <w:t>塑造“一城四镇两廊”现代服务业发展</w:t>
      </w:r>
      <w:r>
        <w:rPr>
          <w:rFonts w:hint="eastAsia" w:cs="Times New Roman"/>
          <w:szCs w:val="32"/>
          <w:lang w:val="en-US" w:eastAsia="zh-CN" w:bidi="ar"/>
        </w:rPr>
        <w:t>新</w:t>
      </w:r>
      <w:r>
        <w:rPr>
          <w:rFonts w:cs="Times New Roman"/>
          <w:szCs w:val="32"/>
          <w:lang w:bidi="ar"/>
        </w:rPr>
        <w:t>空间，</w:t>
      </w:r>
      <w:r>
        <w:rPr>
          <w:rFonts w:cs="Times New Roman"/>
          <w:lang w:bidi="ar"/>
        </w:rPr>
        <w:t>推动产业转型升级，进一步提升服务业吸引力，打响服务业品牌，实现服务业突破式发展，</w:t>
      </w:r>
      <w:r>
        <w:rPr>
          <w:rFonts w:hint="eastAsia" w:ascii="Times New Roman" w:hAnsi="Times New Roman" w:cs="Times New Roman"/>
          <w:szCs w:val="32"/>
          <w:lang w:val="en-US" w:eastAsia="zh-CN" w:bidi="ar"/>
        </w:rPr>
        <w:t>力争</w:t>
      </w:r>
      <w:r>
        <w:rPr>
          <w:rFonts w:ascii="Times New Roman" w:hAnsi="Times New Roman" w:cs="Times New Roman"/>
          <w:szCs w:val="32"/>
          <w:lang w:bidi="ar"/>
        </w:rPr>
        <w:t>将荥经建设成为</w:t>
      </w:r>
      <w:r>
        <w:rPr>
          <w:rFonts w:hint="eastAsia" w:ascii="Times New Roman" w:hAnsi="Times New Roman" w:cs="Times New Roman"/>
          <w:szCs w:val="32"/>
          <w:lang w:bidi="ar"/>
        </w:rPr>
        <w:t>全省</w:t>
      </w:r>
      <w:r>
        <w:rPr>
          <w:rFonts w:ascii="Times New Roman" w:hAnsi="Times New Roman" w:cs="Times New Roman"/>
          <w:szCs w:val="32"/>
          <w:lang w:bidi="ar"/>
        </w:rPr>
        <w:t>现代服务业强县。</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textAlignment w:val="auto"/>
        <w:rPr>
          <w:rFonts w:cs="Times New Roman"/>
        </w:rPr>
      </w:pPr>
      <w:bookmarkStart w:id="83" w:name="_Toc18484"/>
      <w:bookmarkStart w:id="84" w:name="_Toc11363"/>
      <w:bookmarkStart w:id="85" w:name="_Toc27987"/>
      <w:r>
        <w:rPr>
          <w:rFonts w:hint="eastAsia" w:cs="Times New Roman"/>
          <w:lang w:eastAsia="zh-CN"/>
        </w:rPr>
        <w:t>（</w:t>
      </w:r>
      <w:r>
        <w:rPr>
          <w:rFonts w:hint="eastAsia" w:cs="Times New Roman"/>
          <w:lang w:val="en-US" w:eastAsia="zh-CN"/>
        </w:rPr>
        <w:t>二</w:t>
      </w:r>
      <w:r>
        <w:rPr>
          <w:rFonts w:hint="eastAsia" w:cs="Times New Roman"/>
          <w:lang w:eastAsia="zh-CN"/>
        </w:rPr>
        <w:t>）</w:t>
      </w:r>
      <w:r>
        <w:rPr>
          <w:rFonts w:cs="Times New Roman"/>
        </w:rPr>
        <w:t>基本原则</w:t>
      </w:r>
      <w:bookmarkEnd w:id="83"/>
      <w:bookmarkEnd w:id="84"/>
      <w:bookmarkEnd w:id="85"/>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cs="Times New Roman"/>
        </w:rPr>
      </w:pPr>
      <w:bookmarkStart w:id="86" w:name="_Toc12554"/>
      <w:bookmarkStart w:id="87" w:name="_Toc26998"/>
      <w:bookmarkStart w:id="88" w:name="_Toc5653"/>
      <w:bookmarkStart w:id="89" w:name="_Toc15344"/>
      <w:r>
        <w:rPr>
          <w:rFonts w:hint="eastAsia" w:cs="Times New Roman"/>
          <w:szCs w:val="30"/>
          <w:lang w:val="en-US" w:eastAsia="zh-CN" w:bidi="ar"/>
        </w:rPr>
        <w:t>1.</w:t>
      </w:r>
      <w:r>
        <w:rPr>
          <w:rFonts w:cs="Times New Roman"/>
          <w:szCs w:val="30"/>
          <w:lang w:bidi="ar"/>
        </w:rPr>
        <w:t>坚持创新发展，推动转型升级</w:t>
      </w:r>
      <w:bookmarkEnd w:id="86"/>
      <w:bookmarkEnd w:id="87"/>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rPr>
        <w:t>坚持创新发展优先，促进荥经县服务业转型升级，发展现代、中高端、绿色、集约型服务业。坚持服务业技术创新、业态创新、模式创新理念，加快项目筛选和包装，加大招商引资力度，推动重大项目落地。利用区位交通、旅游资源、生态环境等优势，重点发展</w:t>
      </w:r>
      <w:r>
        <w:rPr>
          <w:rFonts w:cs="Times New Roman"/>
          <w:lang w:eastAsia="zh-Hans"/>
        </w:rPr>
        <w:t>文化旅游</w:t>
      </w:r>
      <w:r>
        <w:rPr>
          <w:rFonts w:cs="Times New Roman"/>
        </w:rPr>
        <w:t>、商业贸易、现代物流业等外向型特征显著的行业，吸引大量外来人流和物流集聚，摆脱传统服务业占比过高的瓶颈，实现荥经服务业创新发展。</w:t>
      </w:r>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cs="Times New Roman"/>
          <w:szCs w:val="30"/>
          <w:lang w:bidi="ar"/>
        </w:rPr>
      </w:pPr>
      <w:bookmarkStart w:id="90" w:name="_Toc20272"/>
      <w:bookmarkStart w:id="91" w:name="_Toc15232"/>
      <w:r>
        <w:rPr>
          <w:rFonts w:hint="eastAsia" w:cs="Times New Roman"/>
          <w:szCs w:val="30"/>
          <w:lang w:val="en-US" w:eastAsia="zh-CN" w:bidi="ar"/>
        </w:rPr>
        <w:t>2.</w:t>
      </w:r>
      <w:r>
        <w:rPr>
          <w:rFonts w:cs="Times New Roman"/>
          <w:szCs w:val="30"/>
          <w:lang w:bidi="ar"/>
        </w:rPr>
        <w:t>坚持错位发展，突显特色优势</w:t>
      </w:r>
      <w:bookmarkEnd w:id="90"/>
      <w:bookmarkEnd w:id="91"/>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lang w:bidi="ar"/>
        </w:rPr>
        <w:t>坚持错位发展优先，立足荥经县区位交通优势、生态资源优势、多元文化优势、农特产品优势、</w:t>
      </w:r>
      <w:r>
        <w:rPr>
          <w:rFonts w:cs="Times New Roman"/>
          <w:lang w:eastAsia="zh-Hans" w:bidi="ar"/>
        </w:rPr>
        <w:t>旅游</w:t>
      </w:r>
      <w:r>
        <w:rPr>
          <w:rFonts w:cs="Times New Roman"/>
          <w:lang w:bidi="ar"/>
        </w:rPr>
        <w:t>资源优势，依托大交通，构建大物流，建设大市场，发展大旅游，推动现代物流、商业贸易、</w:t>
      </w:r>
      <w:r>
        <w:rPr>
          <w:rFonts w:cs="Times New Roman"/>
          <w:lang w:eastAsia="zh-Hans" w:bidi="ar"/>
        </w:rPr>
        <w:t>文化旅游</w:t>
      </w:r>
      <w:r>
        <w:rPr>
          <w:rFonts w:cs="Times New Roman"/>
          <w:lang w:bidi="ar"/>
        </w:rPr>
        <w:t>等特色优势服务业实现突破发展。着力打造标志性生活场景，大力发展夜间经济，推进夜间经济特色街区建设，激活夜间经济消费潜力，加快形成具有荥经县特色的现代服务业体系，打响“</w:t>
      </w:r>
      <w:r>
        <w:rPr>
          <w:rFonts w:hint="eastAsia" w:cs="Times New Roman"/>
          <w:szCs w:val="32"/>
          <w:lang w:bidi="ar"/>
        </w:rPr>
        <w:t>千年严道</w:t>
      </w:r>
      <w:r>
        <w:rPr>
          <w:rFonts w:hint="cs" w:cs="Times New Roman"/>
          <w:szCs w:val="32"/>
          <w:lang w:bidi="ar"/>
        </w:rPr>
        <w:t>•</w:t>
      </w:r>
      <w:r>
        <w:rPr>
          <w:rFonts w:hint="eastAsia" w:cs="Times New Roman"/>
          <w:szCs w:val="32"/>
          <w:lang w:val="en-US" w:eastAsia="zh-CN" w:bidi="ar"/>
        </w:rPr>
        <w:t>清雅</w:t>
      </w:r>
      <w:r>
        <w:rPr>
          <w:rFonts w:hint="eastAsia" w:cs="Times New Roman"/>
          <w:szCs w:val="32"/>
          <w:lang w:bidi="ar"/>
        </w:rPr>
        <w:t>荥经</w:t>
      </w:r>
      <w:r>
        <w:rPr>
          <w:rFonts w:cs="Times New Roman"/>
          <w:lang w:bidi="ar"/>
        </w:rPr>
        <w:t>”区域品牌。</w:t>
      </w:r>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cs="Times New Roman"/>
          <w:szCs w:val="30"/>
          <w:lang w:bidi="ar"/>
        </w:rPr>
      </w:pPr>
      <w:bookmarkStart w:id="92" w:name="_Toc24759"/>
      <w:bookmarkStart w:id="93" w:name="_Toc13392"/>
      <w:r>
        <w:rPr>
          <w:rFonts w:hint="eastAsia" w:cs="Times New Roman"/>
          <w:szCs w:val="30"/>
          <w:lang w:val="en-US" w:eastAsia="zh-CN" w:bidi="ar"/>
        </w:rPr>
        <w:t>3.</w:t>
      </w:r>
      <w:r>
        <w:rPr>
          <w:rFonts w:cs="Times New Roman"/>
          <w:szCs w:val="30"/>
          <w:lang w:bidi="ar"/>
        </w:rPr>
        <w:t>坚持融合发展，加强产业联动</w:t>
      </w:r>
      <w:bookmarkEnd w:id="92"/>
      <w:bookmarkEnd w:id="93"/>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rPr>
        <w:t>坚持融合发展优先，加快促进一二三产业联动，依托荥经自身优势，推动服务业与农业融合，大力发展乡村旅游和农村电商等产业；推动服务业与工业融合，大力发展生产性服务业；推动现代服务业内部各行业间的融合，发展旅游与文化、旅游与康养、旅游与商业、医疗与养老等</w:t>
      </w:r>
      <w:r>
        <w:rPr>
          <w:rFonts w:cs="Times New Roman"/>
          <w:lang w:eastAsia="zh-Hans"/>
        </w:rPr>
        <w:t>行业间</w:t>
      </w:r>
      <w:r>
        <w:rPr>
          <w:rFonts w:cs="Times New Roman"/>
        </w:rPr>
        <w:t>的融合，通过深度融合，形成叠加效应。</w:t>
      </w:r>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cs="Times New Roman"/>
          <w:szCs w:val="30"/>
          <w:lang w:bidi="ar"/>
        </w:rPr>
      </w:pPr>
      <w:bookmarkStart w:id="94" w:name="_Toc7413"/>
      <w:bookmarkStart w:id="95" w:name="_Toc18031"/>
      <w:r>
        <w:rPr>
          <w:rFonts w:hint="eastAsia" w:cs="Times New Roman"/>
          <w:szCs w:val="30"/>
          <w:lang w:val="en-US" w:eastAsia="zh-CN" w:bidi="ar"/>
        </w:rPr>
        <w:t>4.</w:t>
      </w:r>
      <w:r>
        <w:rPr>
          <w:rFonts w:cs="Times New Roman"/>
          <w:szCs w:val="30"/>
          <w:lang w:bidi="ar"/>
        </w:rPr>
        <w:t>坚持集聚发展，优化空间布局</w:t>
      </w:r>
      <w:bookmarkEnd w:id="94"/>
      <w:bookmarkEnd w:id="95"/>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rPr>
        <w:t>坚持集聚发展优先，加快建设市级现代服务业集聚区，争创省级现代服务业集聚区，通过“五个一批”发展模式，优化城区产业空间布局，推动现代服务业集聚区在严道街道及龙苍沟镇、牛背山镇、新添镇、花滩镇布局，打造商业贸易、现代物流和文体旅游、医疗健康服务、川派餐饮服务集聚区等，实现产业集聚发展。</w:t>
      </w:r>
    </w:p>
    <w:p>
      <w:pPr>
        <w:pStyle w:val="5"/>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cs="Times New Roman"/>
          <w:szCs w:val="30"/>
          <w:lang w:bidi="ar"/>
        </w:rPr>
      </w:pPr>
      <w:bookmarkStart w:id="96" w:name="_Toc24332"/>
      <w:bookmarkStart w:id="97" w:name="_Toc22195"/>
      <w:r>
        <w:rPr>
          <w:rFonts w:hint="eastAsia" w:cs="Times New Roman"/>
          <w:szCs w:val="30"/>
          <w:lang w:val="en-US" w:eastAsia="zh-CN" w:bidi="ar"/>
        </w:rPr>
        <w:t>5.</w:t>
      </w:r>
      <w:r>
        <w:rPr>
          <w:rFonts w:cs="Times New Roman"/>
          <w:szCs w:val="30"/>
          <w:lang w:bidi="ar"/>
        </w:rPr>
        <w:t>坚持开放发展，深化区域合作</w:t>
      </w:r>
      <w:bookmarkEnd w:id="96"/>
      <w:bookmarkEnd w:id="97"/>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szCs w:val="30"/>
          <w:lang w:bidi="ar"/>
        </w:rPr>
        <w:t>坚持开放发展优先，实施开放合作战略，抢抓</w:t>
      </w:r>
      <w:r>
        <w:rPr>
          <w:rFonts w:cs="Times New Roman"/>
          <w:lang w:bidi="ar"/>
        </w:rPr>
        <w:t>成渝地区双城经济圈建设机遇，加强区域服务业的开放合作。</w:t>
      </w:r>
      <w:r>
        <w:rPr>
          <w:rFonts w:cs="Times New Roman"/>
          <w:szCs w:val="30"/>
          <w:lang w:bidi="ar"/>
        </w:rPr>
        <w:t>充分利用省、市、县相关政策，搭建开放型服务平台，加大招商引资力度，积极推动重大项目建设。大力发展文化旅游、现代物流、商业贸易、电子商务、森林康养、特色餐饮等服务业，提升服务业对外辐射力和吸引力。</w:t>
      </w:r>
      <w:bookmarkEnd w:id="88"/>
      <w:bookmarkEnd w:id="89"/>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textAlignment w:val="auto"/>
        <w:rPr>
          <w:rFonts w:cs="Times New Roman"/>
        </w:rPr>
      </w:pPr>
      <w:bookmarkStart w:id="98" w:name="_Toc18341"/>
      <w:bookmarkStart w:id="99" w:name="_Toc9226"/>
      <w:bookmarkStart w:id="100" w:name="_Toc11734"/>
      <w:r>
        <w:rPr>
          <w:rFonts w:hint="eastAsia" w:cs="Times New Roman"/>
          <w:lang w:eastAsia="zh-CN"/>
        </w:rPr>
        <w:t>（</w:t>
      </w:r>
      <w:r>
        <w:rPr>
          <w:rFonts w:hint="eastAsia" w:cs="Times New Roman"/>
          <w:lang w:val="en-US" w:eastAsia="zh-CN"/>
        </w:rPr>
        <w:t>三</w:t>
      </w:r>
      <w:r>
        <w:rPr>
          <w:rFonts w:hint="eastAsia" w:cs="Times New Roman"/>
          <w:lang w:eastAsia="zh-CN"/>
        </w:rPr>
        <w:t>）</w:t>
      </w:r>
      <w:r>
        <w:rPr>
          <w:rFonts w:cs="Times New Roman"/>
        </w:rPr>
        <w:t>发展目标</w:t>
      </w:r>
      <w:bookmarkEnd w:id="98"/>
      <w:bookmarkEnd w:id="99"/>
      <w:bookmarkEnd w:id="100"/>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pPr>
      <w:r>
        <w:rPr>
          <w:rFonts w:hint="eastAsia" w:ascii="仿宋_GB2312" w:hAnsi="仿宋_GB2312" w:eastAsia="仿宋_GB2312" w:cs="仿宋_GB2312"/>
        </w:rPr>
        <w:t>到2025年，</w:t>
      </w:r>
      <w:r>
        <w:rPr>
          <w:rFonts w:hint="eastAsia" w:ascii="仿宋_GB2312" w:hAnsi="仿宋_GB2312" w:eastAsia="仿宋_GB2312" w:cs="仿宋_GB2312"/>
          <w:kern w:val="2"/>
          <w:sz w:val="32"/>
          <w:szCs w:val="24"/>
          <w:lang w:val="en-US" w:eastAsia="zh-CN" w:bidi="ar-SA"/>
        </w:rPr>
        <w:t>服务业</w:t>
      </w:r>
      <w:r>
        <w:rPr>
          <w:rFonts w:hint="eastAsia" w:ascii="Times New Roman" w:hAnsi="Times New Roman" w:eastAsia="仿宋_GB2312" w:cstheme="minorBidi"/>
          <w:kern w:val="2"/>
          <w:sz w:val="32"/>
          <w:szCs w:val="24"/>
          <w:lang w:val="en-US" w:eastAsia="zh-CN" w:bidi="ar-SA"/>
        </w:rPr>
        <w:t>对全县经济社会发展的支撑作用进一步加大，服务于产业转型升级和人民品质生活的能力进一步增强，布局合理、特色鲜明、辐射力强的新时代现代服务业体系基本构建</w:t>
      </w:r>
      <w:r>
        <w:rPr>
          <w:rFonts w:hint="eastAsia" w:cstheme="minorBidi"/>
          <w:kern w:val="2"/>
          <w:sz w:val="32"/>
          <w:szCs w:val="24"/>
          <w:lang w:val="en-US" w:eastAsia="zh-CN" w:bidi="ar-SA"/>
        </w:rPr>
        <w:t>，</w:t>
      </w:r>
      <w:r>
        <w:rPr>
          <w:rFonts w:hint="eastAsia"/>
        </w:rPr>
        <w:t>服务业增加值</w:t>
      </w:r>
      <w:r>
        <w:rPr>
          <w:rFonts w:hint="eastAsia" w:ascii="仿宋_GB2312" w:hAnsi="仿宋_GB2312" w:eastAsia="仿宋_GB2312" w:cs="仿宋_GB2312"/>
        </w:rPr>
        <w:t>达到65亿元</w:t>
      </w:r>
      <w:r>
        <w:rPr>
          <w:rFonts w:hint="eastAsia"/>
          <w:lang w:eastAsia="zh-CN"/>
        </w:rPr>
        <w:t>，</w:t>
      </w:r>
      <w:r>
        <w:rPr>
          <w:rFonts w:hint="eastAsia"/>
          <w:lang w:val="en-US" w:eastAsia="zh-CN"/>
        </w:rPr>
        <w:t>力争成功创建全省现代服务业强县</w:t>
      </w:r>
      <w:r>
        <w:rPr>
          <w:rFonts w:hint="eastAsia"/>
        </w:rPr>
        <w:t>。</w:t>
      </w:r>
    </w:p>
    <w:p>
      <w:pPr>
        <w:ind w:firstLine="0" w:firstLineChars="0"/>
        <w:jc w:val="center"/>
        <w:rPr>
          <w:rFonts w:hint="eastAsia" w:eastAsia="楷体_GB2312" w:cs="Times New Roman"/>
          <w:b/>
          <w:bCs/>
          <w:sz w:val="21"/>
          <w:szCs w:val="21"/>
        </w:rPr>
      </w:pPr>
    </w:p>
    <w:p>
      <w:pPr>
        <w:ind w:firstLine="0" w:firstLineChars="0"/>
        <w:jc w:val="center"/>
        <w:rPr>
          <w:rFonts w:eastAsia="楷体_GB2312" w:cs="Times New Roman"/>
          <w:b/>
          <w:bCs/>
          <w:sz w:val="21"/>
          <w:szCs w:val="21"/>
        </w:rPr>
      </w:pPr>
      <w:r>
        <w:rPr>
          <w:rFonts w:hint="eastAsia" w:eastAsia="楷体_GB2312" w:cs="Times New Roman"/>
          <w:b/>
          <w:bCs/>
          <w:sz w:val="21"/>
          <w:szCs w:val="21"/>
        </w:rPr>
        <w:t>表</w:t>
      </w:r>
      <w:r>
        <w:rPr>
          <w:rFonts w:hint="eastAsia" w:eastAsia="楷体_GB2312" w:cs="Times New Roman"/>
          <w:b/>
          <w:bCs/>
          <w:sz w:val="21"/>
          <w:szCs w:val="21"/>
          <w:lang w:val="en-US" w:eastAsia="zh-CN"/>
        </w:rPr>
        <w:t xml:space="preserve">2  </w:t>
      </w:r>
      <w:r>
        <w:rPr>
          <w:rFonts w:eastAsia="楷体_GB2312" w:cs="Times New Roman"/>
          <w:b/>
          <w:bCs/>
          <w:sz w:val="21"/>
          <w:szCs w:val="21"/>
        </w:rPr>
        <w:t>荥经县“十四五”服务业发展目标表</w:t>
      </w:r>
    </w:p>
    <w:tbl>
      <w:tblPr>
        <w:tblStyle w:val="1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30"/>
        <w:gridCol w:w="1300"/>
        <w:gridCol w:w="740"/>
        <w:gridCol w:w="3780"/>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2830" w:type="dxa"/>
            <w:gridSpan w:val="2"/>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pPr>
              <w:pStyle w:val="36"/>
              <w:adjustRightInd w:val="0"/>
              <w:snapToGrid w:val="0"/>
              <w:spacing w:line="300" w:lineRule="exact"/>
              <w:textAlignment w:val="center"/>
              <w:rPr>
                <w:rFonts w:eastAsia="黑体" w:cs="Times New Roman"/>
                <w:b/>
                <w:bCs/>
                <w:sz w:val="21"/>
                <w:szCs w:val="21"/>
              </w:rPr>
            </w:pPr>
            <w:r>
              <w:rPr>
                <w:rFonts w:eastAsia="黑体" w:cs="Times New Roman"/>
                <w:b/>
                <w:bCs/>
                <w:sz w:val="21"/>
                <w:szCs w:val="21"/>
              </w:rPr>
              <w:t>类型</w:t>
            </w:r>
          </w:p>
        </w:tc>
        <w:tc>
          <w:tcPr>
            <w:tcW w:w="740"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pPr>
              <w:pStyle w:val="36"/>
              <w:adjustRightInd w:val="0"/>
              <w:snapToGrid w:val="0"/>
              <w:spacing w:line="300" w:lineRule="exact"/>
              <w:textAlignment w:val="center"/>
              <w:rPr>
                <w:rFonts w:eastAsia="黑体" w:cs="Times New Roman"/>
                <w:b/>
                <w:bCs/>
                <w:sz w:val="21"/>
                <w:szCs w:val="21"/>
              </w:rPr>
            </w:pPr>
            <w:r>
              <w:rPr>
                <w:rFonts w:eastAsia="黑体" w:cs="Times New Roman"/>
                <w:b/>
                <w:bCs/>
                <w:sz w:val="21"/>
                <w:szCs w:val="21"/>
              </w:rPr>
              <w:t>序号</w:t>
            </w:r>
          </w:p>
        </w:tc>
        <w:tc>
          <w:tcPr>
            <w:tcW w:w="3780"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pPr>
              <w:pStyle w:val="36"/>
              <w:adjustRightInd w:val="0"/>
              <w:snapToGrid w:val="0"/>
              <w:spacing w:line="300" w:lineRule="exact"/>
              <w:textAlignment w:val="center"/>
              <w:rPr>
                <w:rFonts w:eastAsia="黑体" w:cs="Times New Roman"/>
                <w:b/>
                <w:bCs/>
                <w:sz w:val="21"/>
                <w:szCs w:val="21"/>
              </w:rPr>
            </w:pPr>
            <w:r>
              <w:rPr>
                <w:rFonts w:eastAsia="黑体" w:cs="Times New Roman"/>
                <w:b/>
                <w:bCs/>
                <w:sz w:val="21"/>
                <w:szCs w:val="21"/>
              </w:rPr>
              <w:t>指标名称</w:t>
            </w:r>
          </w:p>
        </w:tc>
        <w:tc>
          <w:tcPr>
            <w:tcW w:w="1009"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pPr>
              <w:pStyle w:val="36"/>
              <w:adjustRightInd w:val="0"/>
              <w:snapToGrid w:val="0"/>
              <w:spacing w:line="300" w:lineRule="exact"/>
              <w:textAlignment w:val="center"/>
              <w:rPr>
                <w:rFonts w:hint="eastAsia" w:eastAsia="黑体" w:cs="Times New Roman"/>
                <w:b/>
                <w:bCs/>
                <w:sz w:val="21"/>
                <w:szCs w:val="21"/>
                <w:lang w:val="en-US" w:eastAsia="zh-CN"/>
              </w:rPr>
            </w:pPr>
            <w:r>
              <w:rPr>
                <w:rFonts w:hint="eastAsia" w:eastAsia="黑体" w:cs="Times New Roman"/>
                <w:b/>
                <w:bCs/>
                <w:sz w:val="21"/>
                <w:szCs w:val="21"/>
                <w:lang w:val="en-US" w:eastAsia="zh-CN"/>
              </w:rPr>
              <w:t>2025年</w:t>
            </w:r>
          </w:p>
          <w:p>
            <w:pPr>
              <w:pStyle w:val="36"/>
              <w:adjustRightInd w:val="0"/>
              <w:snapToGrid w:val="0"/>
              <w:spacing w:line="300" w:lineRule="exact"/>
              <w:textAlignment w:val="center"/>
              <w:rPr>
                <w:rFonts w:eastAsia="黑体" w:cs="Times New Roman"/>
                <w:b/>
                <w:bCs/>
                <w:sz w:val="21"/>
                <w:szCs w:val="21"/>
              </w:rPr>
            </w:pPr>
            <w:r>
              <w:rPr>
                <w:rFonts w:eastAsia="黑体" w:cs="Times New Roman"/>
                <w:b/>
                <w:bCs/>
                <w:sz w:val="21"/>
                <w:szCs w:val="21"/>
              </w:rPr>
              <w:t>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2830" w:type="dxa"/>
            <w:gridSpan w:val="2"/>
            <w:vMerge w:val="restart"/>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总体目标</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1</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服务业增加值总量（亿元）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2830" w:type="dxa"/>
            <w:gridSpan w:val="2"/>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2</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hint="eastAsia" w:eastAsia="仿宋_GB2312" w:cs="Times New Roman"/>
                <w:sz w:val="21"/>
                <w:szCs w:val="21"/>
                <w:lang w:val="en-US" w:eastAsia="zh-CN"/>
              </w:rPr>
              <w:t>累计</w:t>
            </w:r>
            <w:r>
              <w:rPr>
                <w:rFonts w:eastAsia="仿宋_GB2312" w:cs="Times New Roman"/>
                <w:sz w:val="21"/>
                <w:szCs w:val="21"/>
              </w:rPr>
              <w:t>新增限上规上服务业企业（家）</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6</w:t>
            </w:r>
            <w:r>
              <w:rPr>
                <w:rFonts w:hint="eastAsia" w:eastAsia="仿宋_GB2312"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2830" w:type="dxa"/>
            <w:gridSpan w:val="2"/>
            <w:vMerge w:val="continue"/>
            <w:tcBorders>
              <w:left w:val="single" w:color="auto" w:sz="4" w:space="0"/>
              <w:bottom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3</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hint="eastAsia" w:eastAsia="仿宋_GB2312" w:cs="Times New Roman"/>
                <w:sz w:val="21"/>
                <w:szCs w:val="21"/>
                <w:lang w:val="en-US" w:eastAsia="zh-CN"/>
              </w:rPr>
              <w:t>服务业</w:t>
            </w:r>
            <w:r>
              <w:rPr>
                <w:rFonts w:eastAsia="仿宋_GB2312" w:cs="Times New Roman"/>
                <w:sz w:val="21"/>
                <w:szCs w:val="21"/>
              </w:rPr>
              <w:t>招商引资</w:t>
            </w:r>
            <w:r>
              <w:rPr>
                <w:rFonts w:hint="eastAsia" w:eastAsia="仿宋_GB2312" w:cs="Times New Roman"/>
                <w:sz w:val="21"/>
                <w:szCs w:val="21"/>
                <w:lang w:val="en-US" w:eastAsia="zh-CN"/>
              </w:rPr>
              <w:t>累计</w:t>
            </w:r>
            <w:r>
              <w:rPr>
                <w:rFonts w:eastAsia="仿宋_GB2312" w:cs="Times New Roman"/>
                <w:sz w:val="21"/>
                <w:szCs w:val="21"/>
              </w:rPr>
              <w:t>到位资金（亿元）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restart"/>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3大支柱型</w:t>
            </w:r>
          </w:p>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服务业</w:t>
            </w:r>
            <w:r>
              <w:rPr>
                <w:rFonts w:hint="eastAsia" w:eastAsia="仿宋_GB2312" w:cs="Times New Roman"/>
                <w:sz w:val="21"/>
                <w:szCs w:val="21"/>
              </w:rPr>
              <w:t>目标</w:t>
            </w:r>
          </w:p>
        </w:tc>
        <w:tc>
          <w:tcPr>
            <w:tcW w:w="1300" w:type="dxa"/>
            <w:vMerge w:val="restart"/>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文化旅游</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4</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旅游总收入（亿元）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5</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接待游客（万人次）</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6</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省级旅游度假区（家）</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continue"/>
            <w:tcBorders>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7</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省级文旅融合发展示范产业园区（</w:t>
            </w:r>
            <w:r>
              <w:rPr>
                <w:rFonts w:hint="eastAsia" w:eastAsia="仿宋_GB2312" w:cs="Times New Roman"/>
                <w:sz w:val="21"/>
                <w:szCs w:val="21"/>
                <w:lang w:val="en-US" w:eastAsia="zh-CN"/>
              </w:rPr>
              <w:t>个</w:t>
            </w:r>
            <w:r>
              <w:rPr>
                <w:rFonts w:eastAsia="仿宋_GB2312" w:cs="Times New Roman"/>
                <w:sz w:val="21"/>
                <w:szCs w:val="21"/>
              </w:rPr>
              <w:t>）</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restart"/>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商业贸易</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8</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社会消费品零售总额（亿元）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9</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商业集聚区（个）</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1300" w:type="dxa"/>
            <w:vMerge w:val="continue"/>
            <w:tcBorders>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10</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商业步行街（条）</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现代物流</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ind w:firstLine="0" w:firstLineChars="0"/>
              <w:textAlignment w:val="center"/>
              <w:rPr>
                <w:rFonts w:eastAsia="仿宋_GB2312" w:cs="Times New Roman"/>
                <w:sz w:val="21"/>
                <w:szCs w:val="21"/>
              </w:rPr>
            </w:pPr>
            <w:r>
              <w:rPr>
                <w:rFonts w:eastAsia="仿宋_GB2312" w:cs="Times New Roman"/>
                <w:sz w:val="21"/>
                <w:szCs w:val="21"/>
              </w:rPr>
              <w:t>11</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货运量（万吨）</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150</w:t>
            </w:r>
            <w:r>
              <w:rPr>
                <w:rFonts w:hint="eastAsia" w:eastAsia="仿宋_GB2312"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ind w:firstLine="0" w:firstLineChars="0"/>
              <w:textAlignment w:val="center"/>
              <w:rPr>
                <w:rFonts w:eastAsia="仿宋_GB2312" w:cs="Times New Roman"/>
                <w:sz w:val="21"/>
                <w:szCs w:val="21"/>
              </w:rPr>
            </w:pPr>
            <w:r>
              <w:rPr>
                <w:rFonts w:eastAsia="仿宋_GB2312" w:cs="Times New Roman"/>
                <w:sz w:val="21"/>
                <w:szCs w:val="21"/>
              </w:rPr>
              <w:t>12</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规上限上物流企业（家）</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restart"/>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3大成长型</w:t>
            </w:r>
          </w:p>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服务业目标</w:t>
            </w:r>
          </w:p>
        </w:tc>
        <w:tc>
          <w:tcPr>
            <w:tcW w:w="1300" w:type="dxa"/>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森林康养</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13</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康养产业总规模（亿元）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restart"/>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电子商务</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14</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电子商务交易额（亿元）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continue"/>
            <w:tcBorders>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ind w:firstLine="0" w:firstLineChars="0"/>
              <w:textAlignment w:val="center"/>
              <w:rPr>
                <w:rFonts w:eastAsia="仿宋_GB2312" w:cs="Times New Roman"/>
                <w:sz w:val="21"/>
                <w:szCs w:val="21"/>
              </w:rPr>
            </w:pPr>
            <w:r>
              <w:rPr>
                <w:rFonts w:eastAsia="仿宋_GB2312" w:cs="Times New Roman"/>
                <w:sz w:val="21"/>
                <w:szCs w:val="21"/>
              </w:rPr>
              <w:t>15</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电子商务企业（个）</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restart"/>
            <w:tcBorders>
              <w:top w:val="single" w:color="auto" w:sz="4" w:space="0"/>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r>
              <w:rPr>
                <w:rFonts w:eastAsia="仿宋_GB2312" w:cs="Times New Roman"/>
                <w:sz w:val="21"/>
                <w:szCs w:val="21"/>
              </w:rPr>
              <w:t>特色餐饮</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hint="eastAsia" w:eastAsia="仿宋_GB2312" w:cs="Times New Roman"/>
                <w:sz w:val="21"/>
                <w:szCs w:val="21"/>
                <w:lang w:val="en-US" w:eastAsia="zh-CN"/>
              </w:rPr>
            </w:pPr>
            <w:r>
              <w:rPr>
                <w:rFonts w:eastAsia="仿宋_GB2312" w:cs="Times New Roman"/>
                <w:sz w:val="21"/>
                <w:szCs w:val="21"/>
              </w:rPr>
              <w:t>1</w:t>
            </w:r>
            <w:r>
              <w:rPr>
                <w:rFonts w:hint="eastAsia" w:eastAsia="仿宋_GB2312" w:cs="Times New Roman"/>
                <w:sz w:val="21"/>
                <w:szCs w:val="21"/>
                <w:lang w:val="en-US" w:eastAsia="zh-CN"/>
              </w:rPr>
              <w:t>6</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餐饮营业额（亿元）</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530" w:type="dxa"/>
            <w:vMerge w:val="continue"/>
            <w:tcBorders>
              <w:left w:val="single" w:color="auto" w:sz="4" w:space="0"/>
              <w:right w:val="single" w:color="auto" w:sz="4" w:space="0"/>
            </w:tcBorders>
            <w:shd w:val="clear" w:color="auto" w:fill="auto"/>
            <w:vAlign w:val="center"/>
          </w:tcPr>
          <w:p>
            <w:pPr>
              <w:pStyle w:val="36"/>
              <w:rPr>
                <w:rFonts w:eastAsia="仿宋_GB2312" w:cs="Times New Roman"/>
                <w:sz w:val="21"/>
                <w:szCs w:val="21"/>
              </w:rPr>
            </w:pPr>
          </w:p>
        </w:tc>
        <w:tc>
          <w:tcPr>
            <w:tcW w:w="1300" w:type="dxa"/>
            <w:vMerge w:val="continue"/>
            <w:tcBorders>
              <w:left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eastAsia="仿宋_GB2312" w:cs="Times New Roman"/>
                <w:sz w:val="21"/>
                <w:szCs w:val="21"/>
              </w:rPr>
            </w:pP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spacing w:line="300" w:lineRule="exact"/>
              <w:textAlignment w:val="center"/>
              <w:rPr>
                <w:rFonts w:hint="eastAsia" w:eastAsia="仿宋_GB2312" w:cs="Times New Roman"/>
                <w:sz w:val="21"/>
                <w:szCs w:val="21"/>
                <w:lang w:val="en-US" w:eastAsia="zh-CN"/>
              </w:rPr>
            </w:pPr>
            <w:r>
              <w:rPr>
                <w:rFonts w:eastAsia="仿宋_GB2312" w:cs="Times New Roman"/>
                <w:sz w:val="21"/>
                <w:szCs w:val="21"/>
              </w:rPr>
              <w:t>1</w:t>
            </w:r>
            <w:r>
              <w:rPr>
                <w:rFonts w:hint="eastAsia" w:eastAsia="仿宋_GB2312" w:cs="Times New Roman"/>
                <w:sz w:val="21"/>
                <w:szCs w:val="21"/>
                <w:lang w:val="en-US" w:eastAsia="zh-CN"/>
              </w:rPr>
              <w:t>7</w:t>
            </w:r>
          </w:p>
        </w:tc>
        <w:tc>
          <w:tcPr>
            <w:tcW w:w="37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限上餐饮企业（家）</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adjustRightInd w:val="0"/>
              <w:snapToGrid w:val="0"/>
              <w:textAlignment w:val="center"/>
              <w:rPr>
                <w:rFonts w:eastAsia="仿宋_GB2312" w:cs="Times New Roman"/>
                <w:sz w:val="21"/>
                <w:szCs w:val="21"/>
              </w:rPr>
            </w:pPr>
            <w:r>
              <w:rPr>
                <w:rFonts w:eastAsia="仿宋_GB2312" w:cs="Times New Roman"/>
                <w:sz w:val="21"/>
                <w:szCs w:val="21"/>
              </w:rPr>
              <w:t>20</w:t>
            </w:r>
          </w:p>
        </w:tc>
      </w:tr>
    </w:tbl>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ascii="Times New Roman" w:hAnsi="Times New Roman" w:cs="Times New Roman"/>
          <w:b w:val="0"/>
          <w:bCs w:val="0"/>
          <w:sz w:val="32"/>
          <w:szCs w:val="32"/>
        </w:rPr>
      </w:pPr>
      <w:bookmarkStart w:id="101" w:name="_Toc28352"/>
      <w:bookmarkStart w:id="102" w:name="_Toc7240"/>
      <w:bookmarkStart w:id="103" w:name="_Toc21955"/>
      <w:r>
        <w:rPr>
          <w:rFonts w:hint="eastAsia" w:ascii="Times New Roman" w:hAnsi="Times New Roman" w:cs="Times New Roman"/>
          <w:b w:val="0"/>
          <w:bCs w:val="0"/>
          <w:sz w:val="32"/>
          <w:szCs w:val="32"/>
          <w:lang w:val="en-US" w:eastAsia="zh-CN"/>
        </w:rPr>
        <w:t>七、</w:t>
      </w:r>
      <w:r>
        <w:rPr>
          <w:rFonts w:ascii="Times New Roman" w:hAnsi="Times New Roman" w:cs="Times New Roman"/>
          <w:b w:val="0"/>
          <w:bCs w:val="0"/>
          <w:sz w:val="32"/>
          <w:szCs w:val="32"/>
        </w:rPr>
        <w:t>产业体系</w:t>
      </w:r>
      <w:bookmarkEnd w:id="101"/>
      <w:bookmarkEnd w:id="102"/>
      <w:bookmarkEnd w:id="103"/>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jc w:val="both"/>
        <w:textAlignment w:val="auto"/>
        <w:rPr>
          <w:rFonts w:cs="Times New Roman"/>
        </w:rPr>
      </w:pPr>
      <w:r>
        <w:rPr>
          <w:rFonts w:cs="Times New Roman"/>
        </w:rPr>
        <w:t>在充分研究荥经县发展基础的基础上，结合四川省、雅安市现代服务业产业体系，规划形成“3+3”现代服务业产业体系，即突破发展文化旅游、商业贸易、现代物流三大支柱型服务业，加快发展森林康养、电子商务、特色餐饮三大成长型服务业。</w:t>
      </w:r>
    </w:p>
    <w:p>
      <w:pPr>
        <w:spacing w:line="240" w:lineRule="auto"/>
        <w:ind w:firstLine="0" w:firstLineChars="0"/>
        <w:jc w:val="center"/>
        <w:rPr>
          <w:rFonts w:cs="Times New Roman"/>
        </w:rPr>
      </w:pPr>
      <w:r>
        <w:rPr>
          <w:rFonts w:cs="Times New Roman"/>
        </w:rPr>
        <w:drawing>
          <wp:inline distT="0" distB="0" distL="114300" distR="114300">
            <wp:extent cx="5276850" cy="3088005"/>
            <wp:effectExtent l="0" t="0" r="0" b="0"/>
            <wp:docPr id="7" name="ECB019B1-382A-4266-B25C-5B523AA43C14-1" descr="qt_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ECB019B1-382A-4266-B25C-5B523AA43C14-1" descr="qt_temp"/>
                    <pic:cNvPicPr>
                      <a:picLocks noChangeAspect="true"/>
                    </pic:cNvPicPr>
                  </pic:nvPicPr>
                  <pic:blipFill>
                    <a:blip r:embed="rId11"/>
                    <a:stretch>
                      <a:fillRect/>
                    </a:stretch>
                  </pic:blipFill>
                  <pic:spPr>
                    <a:xfrm>
                      <a:off x="0" y="0"/>
                      <a:ext cx="5274310" cy="3088005"/>
                    </a:xfrm>
                    <a:prstGeom prst="rect">
                      <a:avLst/>
                    </a:prstGeom>
                  </pic:spPr>
                </pic:pic>
              </a:graphicData>
            </a:graphic>
          </wp:inline>
        </w:drawing>
      </w:r>
    </w:p>
    <w:p>
      <w:pPr>
        <w:spacing w:line="240" w:lineRule="auto"/>
        <w:ind w:firstLine="0" w:firstLineChars="0"/>
        <w:jc w:val="center"/>
        <w:rPr>
          <w:rFonts w:eastAsia="楷体" w:cs="Times New Roman"/>
          <w:b/>
          <w:bCs/>
          <w:sz w:val="21"/>
          <w:szCs w:val="21"/>
        </w:rPr>
      </w:pPr>
      <w:r>
        <w:rPr>
          <w:rFonts w:hint="eastAsia" w:eastAsia="楷体" w:cs="Times New Roman"/>
          <w:b/>
          <w:bCs/>
          <w:sz w:val="21"/>
          <w:szCs w:val="21"/>
        </w:rPr>
        <w:t>图</w:t>
      </w:r>
      <w:r>
        <w:rPr>
          <w:rFonts w:hint="eastAsia" w:eastAsia="楷体" w:cs="Times New Roman"/>
          <w:b/>
          <w:bCs/>
          <w:sz w:val="21"/>
          <w:szCs w:val="21"/>
          <w:lang w:val="en-US" w:eastAsia="zh-CN"/>
        </w:rPr>
        <w:t xml:space="preserve">4  </w:t>
      </w:r>
      <w:r>
        <w:rPr>
          <w:rFonts w:eastAsia="楷体" w:cs="Times New Roman"/>
          <w:b/>
          <w:bCs/>
          <w:sz w:val="21"/>
          <w:szCs w:val="21"/>
        </w:rPr>
        <w:t>荥经县“3+3”现代服务业产业体系</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hint="eastAsia" w:ascii="仿宋_GB2312" w:hAnsi="仿宋_GB2312" w:eastAsia="仿宋_GB2312" w:cs="仿宋_GB2312"/>
        </w:rPr>
      </w:pPr>
      <w:bookmarkStart w:id="104" w:name="_Toc18061"/>
      <w:bookmarkStart w:id="105" w:name="_Toc20045"/>
      <w:bookmarkStart w:id="106" w:name="_Toc31309"/>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突破发展三大支柱型服务业</w:t>
      </w:r>
      <w:bookmarkEnd w:id="104"/>
      <w:bookmarkEnd w:id="105"/>
      <w:bookmarkEnd w:id="106"/>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bookmarkStart w:id="107" w:name="_Toc2606"/>
      <w:bookmarkStart w:id="108" w:name="_Toc10494"/>
      <w:r>
        <w:rPr>
          <w:rFonts w:hint="eastAsia" w:ascii="仿宋_GB2312" w:hAnsi="仿宋_GB2312" w:eastAsia="仿宋_GB2312" w:cs="仿宋_GB2312"/>
          <w:lang w:val="en-US" w:eastAsia="zh-CN"/>
        </w:rPr>
        <w:t>1.</w:t>
      </w:r>
      <w:r>
        <w:rPr>
          <w:rFonts w:hint="eastAsia" w:ascii="仿宋_GB2312" w:hAnsi="仿宋_GB2312" w:eastAsia="仿宋_GB2312" w:cs="仿宋_GB2312"/>
        </w:rPr>
        <w:t>文化旅游</w:t>
      </w:r>
      <w:bookmarkEnd w:id="107"/>
      <w:bookmarkEnd w:id="108"/>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目标定位</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力争到2025年，文化旅游业成为全县国民经济发展的战略性支柱产业，</w:t>
      </w:r>
      <w:r>
        <w:rPr>
          <w:rFonts w:hint="eastAsia" w:ascii="仿宋_GB2312" w:hAnsi="仿宋_GB2312" w:eastAsia="仿宋_GB2312" w:cs="仿宋_GB2312"/>
          <w:szCs w:val="32"/>
          <w:lang w:val="en-US" w:eastAsia="zh-CN"/>
        </w:rPr>
        <w:t>力争</w:t>
      </w:r>
      <w:r>
        <w:rPr>
          <w:rFonts w:hint="eastAsia" w:ascii="仿宋_GB2312" w:hAnsi="仿宋_GB2312" w:eastAsia="仿宋_GB2312" w:cs="仿宋_GB2312"/>
          <w:szCs w:val="32"/>
        </w:rPr>
        <w:t>成功创建</w:t>
      </w:r>
      <w:r>
        <w:rPr>
          <w:rFonts w:hint="eastAsia" w:ascii="仿宋_GB2312" w:hAnsi="仿宋_GB2312" w:eastAsia="仿宋_GB2312" w:cs="仿宋_GB2312"/>
          <w:szCs w:val="32"/>
          <w:lang w:eastAsia="zh-Hans"/>
        </w:rPr>
        <w:t>天府旅游名县，</w:t>
      </w:r>
      <w:r>
        <w:rPr>
          <w:rFonts w:hint="eastAsia" w:ascii="仿宋_GB2312" w:hAnsi="仿宋_GB2312" w:eastAsia="仿宋_GB2312" w:cs="仿宋_GB2312"/>
          <w:szCs w:val="32"/>
        </w:rPr>
        <w:t>全县旅游总收入突破72亿元，接待游客达到600万人次，建成</w:t>
      </w:r>
      <w:r>
        <w:rPr>
          <w:rFonts w:hint="eastAsia" w:ascii="仿宋_GB2312" w:hAnsi="仿宋_GB2312" w:eastAsia="仿宋_GB2312" w:cs="仿宋_GB2312"/>
          <w:color w:val="000000"/>
        </w:rPr>
        <w:t>省级旅游度假区1家，</w:t>
      </w:r>
      <w:r>
        <w:rPr>
          <w:rFonts w:hint="eastAsia" w:ascii="仿宋_GB2312" w:hAnsi="仿宋_GB2312" w:eastAsia="仿宋_GB2312" w:cs="仿宋_GB2312"/>
          <w:szCs w:val="32"/>
        </w:rPr>
        <w:t>省级文旅融合发展示范产业园区1家。</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重点任务</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color w:val="000000"/>
        </w:rPr>
      </w:pPr>
      <w:r>
        <w:rPr>
          <w:rFonts w:hint="eastAsia" w:ascii="仿宋_GB2312" w:hAnsi="仿宋_GB2312" w:eastAsia="仿宋_GB2312" w:cs="仿宋_GB2312"/>
          <w:b/>
          <w:bCs/>
          <w:lang w:val="en-US" w:eastAsia="zh-CN"/>
        </w:rPr>
        <w:t>打造</w:t>
      </w:r>
      <w:r>
        <w:rPr>
          <w:rFonts w:hint="eastAsia" w:ascii="仿宋_GB2312" w:hAnsi="仿宋_GB2312" w:eastAsia="仿宋_GB2312" w:cs="仿宋_GB2312"/>
          <w:b/>
          <w:bCs/>
        </w:rPr>
        <w:t>“五游荥经”产品体系</w:t>
      </w:r>
      <w:r>
        <w:rPr>
          <w:rFonts w:hint="eastAsia" w:ascii="仿宋_GB2312" w:hAnsi="仿宋_GB2312" w:eastAsia="仿宋_GB2312" w:cs="仿宋_GB2312"/>
          <w:b/>
          <w:bCs/>
          <w:lang w:eastAsia="zh-CN"/>
        </w:rPr>
        <w:t>，</w:t>
      </w:r>
      <w:r>
        <w:rPr>
          <w:rFonts w:hint="eastAsia" w:ascii="仿宋_GB2312" w:hAnsi="仿宋_GB2312" w:eastAsia="仿宋_GB2312" w:cs="仿宋_GB2312"/>
          <w:b/>
          <w:bCs/>
        </w:rPr>
        <w:t>高标准建设“三山一城”四大景区。</w:t>
      </w:r>
      <w:r>
        <w:rPr>
          <w:rFonts w:hint="eastAsia" w:ascii="仿宋_GB2312" w:hAnsi="仿宋_GB2312" w:eastAsia="仿宋_GB2312" w:cs="仿宋_GB2312"/>
          <w:color w:val="000000"/>
        </w:rPr>
        <w:t>依托厚重的历史文化和得天独厚的生态资源，荥经县着力打造“自然教育、康养度假、山地观光、文化体验、美食寻味”为一体的“五游荥经”特色文旅品牌</w:t>
      </w:r>
      <w:r>
        <w:rPr>
          <w:rFonts w:hint="eastAsia" w:ascii="仿宋_GB2312" w:hAnsi="仿宋_GB2312" w:eastAsia="仿宋_GB2312" w:cs="仿宋_GB2312"/>
          <w:color w:val="000000"/>
          <w:lang w:eastAsia="zh-CN"/>
        </w:rPr>
        <w:t>。</w:t>
      </w:r>
      <w:r>
        <w:rPr>
          <w:rFonts w:hint="eastAsia" w:ascii="仿宋_GB2312" w:hAnsi="仿宋_GB2312" w:eastAsia="仿宋_GB2312" w:cs="仿宋_GB2312"/>
          <w:color w:val="000000"/>
        </w:rPr>
        <w:t>高标准建设“三山一城”四大景区</w:t>
      </w:r>
      <w:r>
        <w:rPr>
          <w:rFonts w:hint="eastAsia" w:ascii="仿宋_GB2312" w:hAnsi="仿宋_GB2312" w:eastAsia="仿宋_GB2312" w:cs="仿宋_GB2312"/>
          <w:color w:val="000000"/>
          <w:lang w:eastAsia="zh-CN"/>
        </w:rPr>
        <w:t>，</w:t>
      </w:r>
      <w:r>
        <w:rPr>
          <w:rFonts w:hint="eastAsia" w:ascii="仿宋_GB2312" w:hAnsi="仿宋_GB2312" w:eastAsia="仿宋_GB2312" w:cs="仿宋_GB2312"/>
          <w:color w:val="000000"/>
        </w:rPr>
        <w:t>争创天府旅游名县。依托龙苍沟国家森林公园原始森林资源，突出自然森林景观特色，坚持生态优先原则，结合休闲度假旅游产品开发，以大健康产业为主导，大力推进熊猫民宿特色小镇、熊猫康养天堂、熊猫宁静谷、熊猫探索学校二期等项目建设，加大余家坝运动康养区和银船温泉度假区的项目推进</w:t>
      </w:r>
      <w:r>
        <w:rPr>
          <w:rFonts w:hint="eastAsia" w:ascii="仿宋_GB2312" w:hAnsi="仿宋_GB2312" w:eastAsia="仿宋_GB2312" w:cs="仿宋_GB2312"/>
          <w:color w:val="000000"/>
          <w:lang w:eastAsia="zh-CN"/>
        </w:rPr>
        <w:t>，</w:t>
      </w:r>
      <w:r>
        <w:rPr>
          <w:rFonts w:hint="eastAsia" w:ascii="仿宋_GB2312" w:hAnsi="仿宋_GB2312" w:eastAsia="仿宋_GB2312" w:cs="仿宋_GB2312"/>
          <w:color w:val="000000"/>
        </w:rPr>
        <w:t>打造集旅游、度假、休闲、疗养、科学教育、文化娱乐于一体的森林生态康养度假旅游目的地</w:t>
      </w:r>
      <w:r>
        <w:rPr>
          <w:rFonts w:hint="eastAsia" w:ascii="仿宋_GB2312" w:hAnsi="仿宋_GB2312" w:eastAsia="仿宋_GB2312" w:cs="仿宋_GB2312"/>
          <w:color w:val="000000"/>
          <w:lang w:eastAsia="zh-CN"/>
        </w:rPr>
        <w:t>；</w:t>
      </w:r>
      <w:r>
        <w:rPr>
          <w:rFonts w:hint="eastAsia" w:ascii="仿宋_GB2312" w:hAnsi="仿宋_GB2312" w:eastAsia="仿宋_GB2312" w:cs="仿宋_GB2312"/>
          <w:b w:val="0"/>
          <w:bCs w:val="0"/>
          <w:color w:val="000000"/>
          <w:sz w:val="32"/>
          <w:szCs w:val="32"/>
        </w:rPr>
        <w:t>建成中国桌山景区花湖景区，加快云上方舟景区和索道建设，</w:t>
      </w:r>
      <w:r>
        <w:rPr>
          <w:rFonts w:hint="eastAsia" w:ascii="仿宋_GB2312" w:hAnsi="仿宋_GB2312" w:eastAsia="仿宋_GB2312" w:cs="仿宋_GB2312"/>
          <w:b w:val="0"/>
          <w:bCs w:val="0"/>
          <w:sz w:val="32"/>
          <w:szCs w:val="32"/>
        </w:rPr>
        <w:t>创建省级旅游度假区</w:t>
      </w:r>
      <w:r>
        <w:rPr>
          <w:rFonts w:hint="eastAsia" w:ascii="仿宋_GB2312" w:hAnsi="仿宋_GB2312" w:eastAsia="仿宋_GB2312" w:cs="仿宋_GB2312"/>
          <w:color w:val="000000"/>
        </w:rPr>
        <w:t>。以牛背山“360°世界最美观景平台”为核心，采取“山顶生态游憩，山麓康养度假”模式，推进康养与运动、医药、文化、农业相结合，着力建设国际国内高山观光摄影和极限运动胜地。大力发展森林康养运动产业，加速推进休闲度假产品开发，运用“运动+医疗+养生”模式，促进森林康养与户外运动深度融合，打造集极致观光、休闲度假、养生理疗、户外探险、民俗风情体验等功能于一体的效益显著、功能完善、特色鲜明、可持续发展的具有规模带动效应的世界级山地旅游目的地</w:t>
      </w:r>
      <w:r>
        <w:rPr>
          <w:rFonts w:hint="eastAsia" w:ascii="仿宋_GB2312" w:hAnsi="仿宋_GB2312" w:eastAsia="仿宋_GB2312" w:cs="仿宋_GB2312"/>
          <w:color w:val="000000"/>
          <w:lang w:eastAsia="zh-CN"/>
        </w:rPr>
        <w:t>，</w:t>
      </w:r>
      <w:r>
        <w:rPr>
          <w:rFonts w:hint="eastAsia" w:ascii="仿宋_GB2312" w:hAnsi="仿宋_GB2312" w:eastAsia="仿宋_GB2312" w:cs="仿宋_GB2312"/>
          <w:b w:val="0"/>
          <w:bCs w:val="0"/>
          <w:color w:val="000000"/>
          <w:sz w:val="32"/>
          <w:szCs w:val="32"/>
          <w:lang w:val="en-US" w:eastAsia="zh-CN"/>
        </w:rPr>
        <w:t>推动</w:t>
      </w:r>
      <w:r>
        <w:rPr>
          <w:rFonts w:hint="eastAsia" w:ascii="仿宋_GB2312" w:hAnsi="仿宋_GB2312" w:eastAsia="仿宋_GB2312" w:cs="仿宋_GB2312"/>
          <w:b w:val="0"/>
          <w:bCs w:val="0"/>
          <w:color w:val="000000"/>
          <w:sz w:val="32"/>
          <w:szCs w:val="32"/>
        </w:rPr>
        <w:t>牛背山景区争创国家5A级景区</w:t>
      </w:r>
      <w:r>
        <w:rPr>
          <w:rFonts w:hint="eastAsia" w:ascii="仿宋_GB2312" w:hAnsi="仿宋_GB2312" w:eastAsia="仿宋_GB2312" w:cs="仿宋_GB2312"/>
          <w:color w:val="000000"/>
        </w:rPr>
        <w:t>。探索“国资主导+多方合作”模式，做大做强云峰山旅游景区，整合大云峰山环线空间范围内文化、生态、产业资源，加大招商引资，突出项目落地，发挥城郊区位优势，以乡村旅居为突破点，以心灵康养和乡村休闲为特色，推动云峰山</w:t>
      </w:r>
      <w:r>
        <w:rPr>
          <w:rFonts w:hint="eastAsia" w:ascii="仿宋_GB2312" w:hAnsi="仿宋_GB2312" w:eastAsia="仿宋_GB2312" w:cs="仿宋_GB2312"/>
          <w:color w:val="000000"/>
          <w:lang w:val="en-US" w:eastAsia="zh-CN"/>
        </w:rPr>
        <w:t>天府养心产业园的建设。加快建设严道古城，重点建设入口景观打造、黑砂商业展示街区、黑砂休闲娱乐区、黑砂会馆等重点项目建设，打造集文化旅游、康养度假、特色商业、产业孵化于一体的中国严道黑砂城，</w:t>
      </w:r>
      <w:r>
        <w:rPr>
          <w:rFonts w:hint="eastAsia" w:ascii="仿宋_GB2312" w:hAnsi="仿宋_GB2312" w:eastAsia="仿宋_GB2312" w:cs="仿宋_GB2312"/>
          <w:b w:val="0"/>
          <w:bCs w:val="0"/>
          <w:color w:val="000000"/>
          <w:sz w:val="32"/>
          <w:szCs w:val="32"/>
        </w:rPr>
        <w:t>创成国家4A级景区</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color w:val="000000"/>
        </w:rPr>
      </w:pPr>
      <w:r>
        <w:rPr>
          <w:rFonts w:hint="eastAsia" w:ascii="仿宋_GB2312" w:hAnsi="仿宋_GB2312" w:eastAsia="仿宋_GB2312" w:cs="仿宋_GB2312"/>
          <w:b/>
          <w:bCs/>
        </w:rPr>
        <w:t>创新发展自然教育，打造成渝地区自然教育大本营。</w:t>
      </w:r>
      <w:r>
        <w:rPr>
          <w:rFonts w:hint="eastAsia" w:ascii="仿宋_GB2312" w:hAnsi="仿宋_GB2312" w:eastAsia="仿宋_GB2312" w:cs="仿宋_GB2312"/>
          <w:color w:val="000000"/>
        </w:rPr>
        <w:t>依托严道古城、龙苍沟、牛背山、安靖乡、新添镇等，积极完善自然教育基础设施，提升自然教育的科学性和专业度，努力打造雅安自然教育第一县、成渝地区自然教育大本营、全国自然教育示范和样板高地。加强自然教育基础设施建设。打造森林自然教育体验基地，设置室内森林体验馆和室外户外体验路线，</w:t>
      </w:r>
      <w:r>
        <w:rPr>
          <w:rFonts w:hint="eastAsia" w:ascii="仿宋_GB2312" w:hAnsi="仿宋_GB2312" w:eastAsia="仿宋_GB2312" w:cs="仿宋_GB2312"/>
          <w:color w:val="000000"/>
          <w:lang w:eastAsia="zh-Hans"/>
        </w:rPr>
        <w:t>室</w:t>
      </w:r>
      <w:r>
        <w:rPr>
          <w:rFonts w:hint="eastAsia" w:ascii="仿宋_GB2312" w:hAnsi="仿宋_GB2312" w:eastAsia="仿宋_GB2312" w:cs="仿宋_GB2312"/>
          <w:color w:val="000000"/>
        </w:rPr>
        <w:t>内重点打造大熊猫科普馆及生态体验教育场馆</w:t>
      </w:r>
      <w:r>
        <w:rPr>
          <w:rFonts w:hint="eastAsia" w:ascii="仿宋_GB2312" w:hAnsi="仿宋_GB2312" w:eastAsia="仿宋_GB2312" w:cs="仿宋_GB2312"/>
          <w:color w:val="000000"/>
          <w:lang w:eastAsia="zh-Hans"/>
        </w:rPr>
        <w:t>，</w:t>
      </w:r>
      <w:r>
        <w:rPr>
          <w:rFonts w:hint="eastAsia" w:ascii="仿宋_GB2312" w:hAnsi="仿宋_GB2312" w:eastAsia="仿宋_GB2312" w:cs="仿宋_GB2312"/>
          <w:color w:val="000000"/>
        </w:rPr>
        <w:t>设置</w:t>
      </w:r>
      <w:r>
        <w:rPr>
          <w:rFonts w:hint="eastAsia" w:ascii="仿宋_GB2312" w:hAnsi="仿宋_GB2312" w:eastAsia="仿宋_GB2312" w:cs="仿宋_GB2312"/>
          <w:color w:val="000000"/>
          <w:lang w:eastAsia="zh-Hans"/>
        </w:rPr>
        <w:t>熊猫文化教育、</w:t>
      </w:r>
      <w:r>
        <w:rPr>
          <w:rFonts w:hint="eastAsia" w:ascii="仿宋_GB2312" w:hAnsi="仿宋_GB2312" w:eastAsia="仿宋_GB2312" w:cs="仿宋_GB2312"/>
          <w:color w:val="000000"/>
        </w:rPr>
        <w:t>森林历史教育、森林艺术教育、森林环境教育等多个场馆，户外体验路线设置森林教室、观景台、实验室、露营地、五感体验路径等，完善交通、住宿、医疗等基础设施，提升自然教育的硬件设施和接待能力。提供自然教育体验产品。重点提供古城田园农事体验、黑砂制作游学体验、新添镇茶叶采摘制作体验、安靖乡茶马古道南方丝路穿越体验等。合理确定自然教育课程。围绕非遗文化自然教育、绿色生态自然教育、户外徒步自然教育三大重点，按照植物、动物、文化等主题进行体验教育课程研发。针对亲子家庭、普通大众、企业团体和中小学生等不同的受众对象，研究设计不同的课程教育形式，包括解说学习、思考记录、五感观察、拓展游戏、自然扮演、手工创作、户外体验等。建设自然教育运营团队。建立研发团队，包括课程设计团队、场景规划团队、影音输出团队以及营销宣传团队等；建立行业监督管理机构，对自然教育行业</w:t>
      </w:r>
      <w:r>
        <w:rPr>
          <w:rFonts w:hint="eastAsia" w:ascii="仿宋_GB2312" w:hAnsi="仿宋_GB2312" w:eastAsia="仿宋_GB2312" w:cs="仿宋_GB2312"/>
          <w:color w:val="000000"/>
          <w:lang w:eastAsia="zh-Hans"/>
        </w:rPr>
        <w:t>进行</w:t>
      </w:r>
      <w:r>
        <w:rPr>
          <w:rFonts w:hint="eastAsia" w:ascii="仿宋_GB2312" w:hAnsi="仿宋_GB2312" w:eastAsia="仿宋_GB2312" w:cs="仿宋_GB2312"/>
          <w:color w:val="000000"/>
        </w:rPr>
        <w:t>监管，定期对自然教育行业进行检查，对出现的不正当市场行为进行监督查处。引导制定自然教育标准。推动形成统一的自然教育组织与规划，通过学习国外先进经验，在课程、场所、人员配置等方面建立严格的标准，树立权威的行业规范。建立统一的市场运营标准，制定相应的法规，规范自然教育相关企业与机构在运营管理上的行为，保障市场有序发展。培养建立高端人才队伍。与自然教育发展较为成熟的地区定期进行人才交流，或直接引进自然教育高级人才。从旅游、生态、动植物等专业招收优秀毕业生，定期从现有人才队伍中选派优秀员工参加全国自然教育培训，定期组织职业技能竞赛活动，如自然教育课程设计比赛、活动策划大赛、自然教育引导员比赛等。</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color w:val="000000"/>
        </w:rPr>
      </w:pPr>
      <w:r>
        <w:rPr>
          <w:rFonts w:hint="eastAsia" w:ascii="仿宋_GB2312" w:hAnsi="仿宋_GB2312" w:eastAsia="仿宋_GB2312" w:cs="仿宋_GB2312"/>
          <w:b/>
          <w:bCs/>
        </w:rPr>
        <w:t>加快全域旅游建设进程，创建国家全域旅游示范区。</w:t>
      </w:r>
      <w:r>
        <w:rPr>
          <w:rFonts w:hint="eastAsia" w:ascii="仿宋_GB2312" w:hAnsi="仿宋_GB2312" w:eastAsia="仿宋_GB2312" w:cs="仿宋_GB2312"/>
          <w:color w:val="000000"/>
        </w:rPr>
        <w:t>对标国家全域旅游示范区验收标准进行全域旅游开发，着力构建“一核一轴两翼多点”荥经全域旅游空间发展格局，突出“一园”塑品牌、“一城”重品质、“三山”强支撑、“三廊”贯全局，构建“一园一城三山三廊”的全域文旅发展新格局。完善旅游交通体系。对交通与旅游有效整合，打造“快进慢游”旅游交通网，完善各大景区公共交通线路网实现全县4A级旅游景区二级及以上公路全覆盖，提升全县自驾游服务体系建设和管理水平，通过打造风景道、自驾道、骑行道、步行道、生态绿道等旅游区道路，提升进入景区便捷性、游览的观光性、游乐性，用游览特征指导交通体系建设。提升旅游夜间娱乐环境。结合荥经黑砂文化、红色文化、熊猫文化、非遗文化等多元文化特色，建设篝火营地、艺术灯箱、夜间演绎设施、音乐喷泉、激光等夜间造景设施，增加民俗活动、演绎活动等夜间活动，增强荥经夜间旅游体验性。完善公共服务设施建设。完善县城、牛背山、龙苍沟等各大景区的旅游集散中心、旅游停车场、医疗救护设施、旅游厕所、智慧旅游等设施的建设。丰富旅游要素供给。完善餐饮、住宿、购物、娱乐等旅游要素供给，培育多样化、多选择的旅游住宿体系，引导星级酒店、高品质民宿、特色农家乐、露营驿站的投资和建设，培育荥经棒棒鸡、挞挞面、黑砂宴等一批“荥”字牌餐饮品牌，增强休闲和服务功能。提升旅游管理水平。理顺职能，加大各</w:t>
      </w:r>
      <w:r>
        <w:rPr>
          <w:rFonts w:hint="eastAsia" w:ascii="仿宋_GB2312" w:hAnsi="仿宋_GB2312" w:eastAsia="仿宋_GB2312" w:cs="仿宋_GB2312"/>
          <w:color w:val="000000"/>
          <w:lang w:eastAsia="zh-Hans"/>
        </w:rPr>
        <w:t>职能</w:t>
      </w:r>
      <w:r>
        <w:rPr>
          <w:rFonts w:hint="eastAsia" w:ascii="仿宋_GB2312" w:hAnsi="仿宋_GB2312" w:eastAsia="仿宋_GB2312" w:cs="仿宋_GB2312"/>
          <w:color w:val="000000"/>
        </w:rPr>
        <w:t>部门之间协调配合力度，有序推进景区资源保护和旅游发展工作，强化服务意识、创新意识和市场意识，以高标准高要求做好旅游服务接待工作。提高旅游品牌营销水平。结合荥经旅游自身现状，加大旅游市场营销力度，不断创新营销手段，综合运用线上推介、媒体推广、事件营销、活动引爆等多种方式开展旅游宣传，扩大旅游品牌知名度和影响力。</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高质量举办特色会节活动，打响荥经文旅</w:t>
      </w:r>
      <w:r>
        <w:rPr>
          <w:rFonts w:hint="eastAsia" w:ascii="仿宋_GB2312" w:hAnsi="仿宋_GB2312" w:eastAsia="仿宋_GB2312" w:cs="仿宋_GB2312"/>
          <w:b/>
          <w:bCs/>
          <w:lang w:val="en-US" w:eastAsia="zh-CN"/>
        </w:rPr>
        <w:t>节会</w:t>
      </w:r>
      <w:r>
        <w:rPr>
          <w:rFonts w:hint="eastAsia" w:ascii="仿宋_GB2312" w:hAnsi="仿宋_GB2312" w:eastAsia="仿宋_GB2312" w:cs="仿宋_GB2312"/>
          <w:b/>
          <w:bCs/>
        </w:rPr>
        <w:t>品牌。</w:t>
      </w:r>
      <w:r>
        <w:rPr>
          <w:rFonts w:hint="eastAsia" w:ascii="仿宋_GB2312" w:hAnsi="仿宋_GB2312" w:eastAsia="仿宋_GB2312" w:cs="仿宋_GB2312"/>
        </w:rPr>
        <w:t>一方面，</w:t>
      </w:r>
      <w:r>
        <w:rPr>
          <w:rFonts w:hint="eastAsia" w:ascii="仿宋_GB2312" w:hAnsi="仿宋_GB2312" w:eastAsia="仿宋_GB2312" w:cs="仿宋_GB2312"/>
          <w:szCs w:val="32"/>
        </w:rPr>
        <w:t>要立足鸽子花节、鸽子花峰会、森林马拉松、自然教育等已有会节，进一步做好荥经本地会展品牌的策划创立和培育包装工作。</w:t>
      </w:r>
      <w:r>
        <w:rPr>
          <w:rFonts w:hint="eastAsia" w:ascii="仿宋_GB2312" w:hAnsi="仿宋_GB2312" w:eastAsia="仿宋_GB2312" w:cs="仿宋_GB2312"/>
          <w:color w:val="000000"/>
          <w:szCs w:val="32"/>
        </w:rPr>
        <w:t>扩大大熊猫国家公园自然教育研讨会暨中国（四川）森林自然教育发展大会办会范围，推动自然教育公益性与产业化协同发展，打造全国自然教育示范和样板“高地”。持续办好中国“鸽子花”暨国家大熊猫公园建设与森林康养峰会，</w:t>
      </w:r>
      <w:r>
        <w:rPr>
          <w:rFonts w:hint="eastAsia" w:ascii="仿宋_GB2312" w:hAnsi="仿宋_GB2312" w:eastAsia="仿宋_GB2312" w:cs="仿宋_GB2312"/>
          <w:szCs w:val="32"/>
        </w:rPr>
        <w:t>进一步提升影响力和辐射度。依托优质丰富森林资源，不断完善森林赛事活动配套服务，不断提升专业水平，扩大知名度。另一方面，要积极探索培育“文旅+会节”发展新模式、新业态，依托</w:t>
      </w:r>
      <w:r>
        <w:rPr>
          <w:rFonts w:hint="eastAsia" w:ascii="仿宋_GB2312" w:hAnsi="仿宋_GB2312" w:eastAsia="仿宋_GB2312" w:cs="仿宋_GB2312"/>
        </w:rPr>
        <w:t>四大文旅园区，</w:t>
      </w:r>
      <w:r>
        <w:rPr>
          <w:rFonts w:hint="eastAsia" w:ascii="仿宋_GB2312" w:hAnsi="仿宋_GB2312" w:eastAsia="仿宋_GB2312" w:cs="仿宋_GB2312"/>
          <w:color w:val="000000"/>
          <w:szCs w:val="32"/>
        </w:rPr>
        <w:t>探索实现与会展产业深度融合发展路径，</w:t>
      </w:r>
      <w:r>
        <w:rPr>
          <w:rFonts w:hint="eastAsia" w:ascii="仿宋_GB2312" w:hAnsi="仿宋_GB2312" w:eastAsia="仿宋_GB2312" w:cs="仿宋_GB2312"/>
        </w:rPr>
        <w:t>开创一批新的融合荥经森林资源、旅游资源、文化资源、黑砂资源、熊猫资源等特色资源的新兴“文旅+会节”品牌。</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cs="Times New Roman"/>
          <w:color w:val="000000"/>
        </w:rPr>
      </w:pPr>
      <w:r>
        <w:rPr>
          <w:rFonts w:hint="eastAsia" w:ascii="仿宋_GB2312" w:hAnsi="仿宋_GB2312" w:eastAsia="仿宋_GB2312" w:cs="仿宋_GB2312"/>
          <w:b/>
          <w:bCs/>
        </w:rPr>
        <w:t>推动产业间的融合发展，建设多元文旅发展体系。</w:t>
      </w:r>
      <w:r>
        <w:rPr>
          <w:rFonts w:hint="eastAsia" w:ascii="仿宋_GB2312" w:hAnsi="仿宋_GB2312" w:eastAsia="仿宋_GB2312" w:cs="仿宋_GB2312"/>
          <w:color w:val="000000"/>
        </w:rPr>
        <w:t>着力构建“旅游景区+产业园区+会节经济+文创产业”的文化旅游产业发展模式，加强产业间的融合发展，形成特色彰显、形式多元的文化旅游发展体系。推动文化与旅游融合发展。将荥经黑砂文化、红色文化、熊猫文化、非遗文化资源贯穿于旅游发展全过程中，规划建设一批文化旅游精品景区，重点建设严道古城、黑砂小镇等文化旅游精品，高品质建设中国黑砂文化旅游产业园，以红色经典景区为核心，打造胡长保红色圣地旅游区、建政红色旅游环道等红色旅游目的地。推动文旅与康养融合发展。依托牛背山景区、龙苍沟国家森林公园、云峰山景区等优质旅游资源、生态资源、文化资源，高质量建设大相岭大熊猫国家公园产业园、牛背山世界级山地观光旅游度假产业园、云峰山天府养心产业园等旅游康养载体。推动文化旅游与农业融合发展。大力发展观光农业、休闲农业和体验农业，鼓励发展具备旅游功能的创意农业、家庭农业、家庭牧场等新型业态。推动文化旅游与工业融合发展。依托牛背山锰矿采矿遗址、荥河镇煤矿采矿遗址等，开发工业遗产主题公园、工业文化博物馆等工业与旅游融合发展载体。推动文化旅游与商业融合发展。通过用文化</w:t>
      </w:r>
      <w:r>
        <w:rPr>
          <w:rFonts w:hint="eastAsia" w:ascii="仿宋_GB2312" w:hAnsi="仿宋_GB2312" w:eastAsia="仿宋_GB2312" w:cs="仿宋_GB2312"/>
          <w:color w:val="000000"/>
          <w:lang w:eastAsia="zh-Hans"/>
        </w:rPr>
        <w:t>主题</w:t>
      </w:r>
      <w:r>
        <w:rPr>
          <w:rFonts w:hint="eastAsia" w:ascii="仿宋_GB2312" w:hAnsi="仿宋_GB2312" w:eastAsia="仿宋_GB2312" w:cs="仿宋_GB2312"/>
          <w:color w:val="000000"/>
        </w:rPr>
        <w:t>包装商业载体，引入文化创意品牌，打造历史文化体验商业街区、商圈等方式，丰富商业文化体验感，增强文化赋能商业的作用。通过提升旅游景区的商业配套功能，充分发挥商业和文化旅游之间相互引流的作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cs="Times New Roman"/>
        </w:rPr>
        <w:t>重点项目</w:t>
      </w:r>
    </w:p>
    <w:p>
      <w:pPr>
        <w:pStyle w:val="41"/>
        <w:numPr>
          <w:ilvl w:val="0"/>
          <w:numId w:val="0"/>
        </w:numPr>
        <w:ind w:leftChars="0"/>
        <w:jc w:val="center"/>
        <w:rPr>
          <w:rFonts w:cs="Times New Roman"/>
        </w:rPr>
      </w:pPr>
      <w:r>
        <w:rPr>
          <w:rFonts w:hint="eastAsia" w:cs="Times New Roman"/>
          <w:lang w:val="en-US" w:eastAsia="zh-CN"/>
        </w:rPr>
        <w:t xml:space="preserve">表3  </w:t>
      </w:r>
      <w:r>
        <w:rPr>
          <w:rFonts w:cs="Times New Roman"/>
        </w:rPr>
        <w:t>荥经县“十四五”文化旅游业重点项目表</w:t>
      </w:r>
    </w:p>
    <w:tbl>
      <w:tblPr>
        <w:tblStyle w:val="20"/>
        <w:tblW w:w="8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380"/>
        <w:gridCol w:w="675"/>
        <w:gridCol w:w="4303"/>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0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240" w:lineRule="auto"/>
              <w:ind w:firstLine="0" w:firstLineChars="0"/>
              <w:jc w:val="center"/>
              <w:rPr>
                <w:rFonts w:eastAsia="黑体" w:cs="Times New Roman"/>
                <w:b/>
                <w:bCs/>
                <w:kern w:val="0"/>
                <w:sz w:val="21"/>
                <w:szCs w:val="21"/>
              </w:rPr>
            </w:pPr>
            <w:r>
              <w:rPr>
                <w:rFonts w:eastAsia="黑体" w:cs="Times New Roman"/>
                <w:b/>
                <w:bCs/>
                <w:sz w:val="21"/>
                <w:szCs w:val="21"/>
                <w:lang w:bidi="ar"/>
              </w:rPr>
              <w:t>序号</w:t>
            </w:r>
          </w:p>
        </w:tc>
        <w:tc>
          <w:tcPr>
            <w:tcW w:w="1380"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名称</w:t>
            </w:r>
          </w:p>
        </w:tc>
        <w:tc>
          <w:tcPr>
            <w:tcW w:w="675"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规划类型</w:t>
            </w:r>
          </w:p>
        </w:tc>
        <w:tc>
          <w:tcPr>
            <w:tcW w:w="430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主要建设内容</w:t>
            </w:r>
          </w:p>
        </w:tc>
        <w:tc>
          <w:tcPr>
            <w:tcW w:w="1167"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严道古城</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hint="eastAsia" w:cs="Times New Roman"/>
                <w:sz w:val="21"/>
                <w:szCs w:val="21"/>
              </w:rPr>
              <w:t>1.入口景观打造（拟占地约55亩）。规划占地42亩打造景区入口景观，包括特色景观打造、夜景及灯光秀等。规划占地13亩，新建一座游客中心，并将现有停车场改造升级。2.黑砂商业展示街区（拟占地面积约37亩）。规划占地20亩新建黑砂文化长廊，新建仿古商业街1.6万平方米，包含地上及地下建筑面积；配套区域内供排水管网、天网、强弱电网工程；规划占用17亩，新建黑砂实景展示区，规划新建仿古商业街1.3万平方米，包含室外大型黑砂实景展示，特色工艺品小展示空间，特色餐饮等。3.黑砂休闲娱乐区（拟占地面积约24亩）。规划占地24亩，新建休闲街区建筑面积约1.92万平方米。包含休闲业态的KTV、酒吧等，并结合一品天下打造吃喝玩的完整休闲娱乐街区。4.砂境乐居景区（拟占地面积约39亩）。规划占地39亩，配套基础设施及景观设施，打造砂境乐居景区。5.黑砂会馆。将现有民居改造提升为具有黑砂特色的会馆式建筑。</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cs="Times New Roman"/>
                <w:sz w:val="21"/>
                <w:szCs w:val="21"/>
              </w:rPr>
            </w:pPr>
            <w:r>
              <w:rPr>
                <w:rFonts w:hint="eastAsia" w:cs="Times New Roman"/>
                <w:sz w:val="21"/>
                <w:szCs w:val="21"/>
              </w:rPr>
              <w:t>若水古城</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cs="Times New Roman"/>
                <w:sz w:val="21"/>
                <w:szCs w:val="21"/>
                <w:lang w:val="en-US" w:eastAsia="zh-CN"/>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hint="eastAsia" w:eastAsia="仿宋_GB2312" w:cs="Times New Roman"/>
                <w:sz w:val="21"/>
                <w:szCs w:val="21"/>
                <w:lang w:val="en-US" w:eastAsia="zh-CN"/>
              </w:rPr>
            </w:pPr>
            <w:r>
              <w:rPr>
                <w:rFonts w:hint="eastAsia" w:cs="Times New Roman"/>
                <w:sz w:val="21"/>
                <w:szCs w:val="21"/>
              </w:rPr>
              <w:t>修建老街商业，占地约60亩，建设地下车库、市政设施，建筑面积约34000平方米</w:t>
            </w:r>
            <w:r>
              <w:rPr>
                <w:rFonts w:hint="eastAsia" w:cs="Times New Roman"/>
                <w:sz w:val="21"/>
                <w:szCs w:val="21"/>
                <w:lang w:eastAsia="zh-CN"/>
              </w:rPr>
              <w:t>。</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3</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龙苍沟发展村旅游度假区阳坪片区森林康养旅游项目（原清风雅雨小镇项目）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仿宋_GB2312" w:cs="Times New Roman"/>
                <w:kern w:val="2"/>
                <w:sz w:val="21"/>
                <w:szCs w:val="21"/>
                <w:lang w:val="en-US" w:eastAsia="zh-CN" w:bidi="ar-SA"/>
              </w:rPr>
            </w:pPr>
            <w:r>
              <w:rPr>
                <w:rFonts w:cs="Times New Roman"/>
                <w:sz w:val="21"/>
                <w:szCs w:val="21"/>
                <w:lang w:bidi="ar"/>
              </w:rPr>
              <w:t>计划用地面积470亩，建筑面积约62万平方米。建设森林主题住宿区、生态客栈、旅游商品展示区、游客接待中心、自驾车营地、演出中心、停车场、科教、文化等设施。</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2019-2025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牛背山景区荥经片区旅游开发项目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eastAsia="仿宋_GB2312" w:cs="Times New Roman"/>
                <w:sz w:val="21"/>
                <w:szCs w:val="21"/>
                <w:lang w:val="en-US" w:eastAsia="zh-CN"/>
              </w:rPr>
            </w:pPr>
            <w:r>
              <w:rPr>
                <w:rFonts w:hint="eastAsia" w:cs="Times New Roman"/>
                <w:sz w:val="21"/>
                <w:szCs w:val="21"/>
                <w:lang w:val="en-US" w:eastAsia="zh-CN"/>
              </w:rPr>
              <w:t>在建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以“360度全方位观景圣地”为核心吸引力，做亮亚洲第一360度观景平台名片，打造集极致观光、艺术摄影、休闲娱乐、户外体验、乡村风情、度假休养等功能于一体的国际知名的山岳型生态旅游胜地，争创国家5A级旅游景区，打造户外探险旅游目的地。</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2017-2025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5</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大熊猫国家公园南入口文旅小镇</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本项目总用地面积为105983㎡（合159亩），总建筑面积为63590㎡，分为主体工程与附属工程。主体工程包括熊猫客厅、游客接待中心、博物馆、能源服务中心、换乘中心、风雨桥。附属工程包括停车场、熊猫主题大道及标志性大门、绿化及小品、电力工程、给排水工程及污水处理建设。</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6</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中国黑砂文化旅游产业园</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lang w:bidi="ar"/>
              </w:rPr>
            </w:pPr>
            <w:r>
              <w:rPr>
                <w:rFonts w:cs="Times New Roman"/>
                <w:sz w:val="21"/>
                <w:szCs w:val="21"/>
                <w:lang w:bidi="ar"/>
              </w:rPr>
              <w:t>项目总占地面积约200亩、总建筑面积85833.74㎡。建设内容包含黑砂古城(黑砂古城文化体验区)及配套基础设施建设、旅游集散地及游客服务中心及配套设施建设、室外停车场工程。</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2022-2027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7</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云峰山景区整体开发项目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依托云峰山国家4A级旅游景区，打造集朝圣、观光、养生、度假为一体的旅游休闲目的地，塑造云峰山“养心”的旅游形象，项目计划用地15平方公里，估算总投资15亿元。其中项目一期总投资5亿元，建设内容主要包括：</w:t>
            </w:r>
            <w:r>
              <w:rPr>
                <w:rFonts w:cs="Times New Roman"/>
                <w:sz w:val="21"/>
                <w:szCs w:val="21"/>
                <w:lang w:bidi="ar"/>
              </w:rPr>
              <w:br w:type="textWrapping"/>
            </w:r>
            <w:r>
              <w:rPr>
                <w:rFonts w:cs="Times New Roman"/>
                <w:sz w:val="21"/>
                <w:szCs w:val="21"/>
                <w:lang w:bidi="ar"/>
              </w:rPr>
              <w:t>1.特色旅游小镇：以打造荥经县综合旅游特色小镇为目标，在山门（云峰山牌坊）处计划用地积300亩，新建包括游客接待中心、旅游综合服务中心、商业古街区等在内的综合服务设施。</w:t>
            </w:r>
            <w:r>
              <w:rPr>
                <w:rFonts w:cs="Times New Roman"/>
                <w:sz w:val="21"/>
                <w:szCs w:val="21"/>
                <w:lang w:bidi="ar"/>
              </w:rPr>
              <w:br w:type="textWrapping"/>
            </w:r>
            <w:r>
              <w:rPr>
                <w:rFonts w:cs="Times New Roman"/>
                <w:sz w:val="21"/>
                <w:szCs w:val="21"/>
                <w:lang w:bidi="ar"/>
              </w:rPr>
              <w:t>2.生态农业观光区：从山门至云峰山景区下方，计划用地800亩，依托荥经县良好的生态农业优势，全方位打造集农业观光、采摘、体验等为一体的生态农业观光区。</w:t>
            </w:r>
            <w:r>
              <w:rPr>
                <w:rFonts w:cs="Times New Roman"/>
                <w:sz w:val="21"/>
                <w:szCs w:val="21"/>
                <w:lang w:bidi="ar"/>
              </w:rPr>
              <w:br w:type="textWrapping"/>
            </w:r>
            <w:r>
              <w:rPr>
                <w:rFonts w:cs="Times New Roman"/>
                <w:sz w:val="21"/>
                <w:szCs w:val="21"/>
                <w:lang w:bidi="ar"/>
              </w:rPr>
              <w:t>3.养心文化区：以云峰寺为核心，计划在景区周边用地1000亩，新建以养心文化为主的高端民宿或高端酒店。</w:t>
            </w:r>
            <w:r>
              <w:rPr>
                <w:rFonts w:cs="Times New Roman"/>
                <w:sz w:val="21"/>
                <w:szCs w:val="21"/>
                <w:lang w:bidi="ar"/>
              </w:rPr>
              <w:br w:type="textWrapping"/>
            </w:r>
            <w:r>
              <w:rPr>
                <w:rFonts w:cs="Times New Roman"/>
                <w:sz w:val="21"/>
                <w:szCs w:val="21"/>
                <w:lang w:bidi="ar"/>
              </w:rPr>
              <w:t>项目二期计划总投资10亿元，计划用地11.6平方公里，结合云峰山优质的生态资源和当地优势的水资源，打造康养、度假为一体的马耳山康养旅游度假区。</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rPr>
              <w:t>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龙苍沟熊猫温泉小镇</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拟分为三期开发，第一期为中心200亩核心承载区；第二期为经河北岸150亩休闲服务区；第三期为附鱼路以上100亩康养疗养功能区。新建完善滨河道路1条、新建市政街道6条、环山道路2条，总里程6.7公里；拓展生态景观防洪堤工程1公里；新建交通桥梁2座；配套区域内供排水管网、天网、强弱电网工程；商业规划占地180亩，新建熊猫康养产业发展商业街区，采取低层小体量建设，构建围合式街巷院落组团商业发展区，布置6条街区道路，打造舒适怡人的城镇步行商业空间,商业总建筑面积20万平方米。规划商住开发用地180亩，将熊猫文化元素充分融入建筑，资源允许情况下，布局温泉管线；开发区域实行地标性高层公寓、舒适性多层住宅和低层花园洋房相结合，规划总建筑面积26万平方米，配套功能完备的开放式区域基础设施。</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9</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云峰山养心休闲度假项目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项目计划用地11.25亩，修建商住综合用房三幢及相关附属设施，其中计容面积18737.18㎡，不计容面积12000㎡，建筑层数商业一层，住宅15层（142套）；地下室负二层；绿地面积2456.54㎡；机动车辆数343辆。</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10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荥经县长征国家文化公园项目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主要建设内容包括：文化建筑工程、长征文化体验区工程、配套道路工程、公共服务保障设施工程。其中：</w:t>
            </w:r>
            <w:r>
              <w:rPr>
                <w:rFonts w:cs="Times New Roman"/>
                <w:sz w:val="21"/>
                <w:szCs w:val="21"/>
                <w:lang w:bidi="ar"/>
              </w:rPr>
              <w:br w:type="textWrapping"/>
            </w:r>
            <w:r>
              <w:rPr>
                <w:rFonts w:cs="Times New Roman"/>
                <w:sz w:val="21"/>
                <w:szCs w:val="21"/>
                <w:lang w:bidi="ar"/>
              </w:rPr>
              <w:t>1、文化建筑工程：新建羊子岭阻击战纪念馆1200m</w:t>
            </w:r>
            <w:r>
              <w:rPr>
                <w:rFonts w:cs="Times New Roman"/>
                <w:sz w:val="21"/>
                <w:szCs w:val="21"/>
                <w:vertAlign w:val="superscript"/>
                <w:lang w:bidi="ar"/>
              </w:rPr>
              <w:t>2</w:t>
            </w:r>
            <w:r>
              <w:rPr>
                <w:rFonts w:cs="Times New Roman"/>
                <w:sz w:val="21"/>
                <w:szCs w:val="21"/>
                <w:lang w:bidi="ar"/>
              </w:rPr>
              <w:t>，新建苏维埃政府成立大会旧址500m</w:t>
            </w:r>
            <w:r>
              <w:rPr>
                <w:rFonts w:cs="Times New Roman"/>
                <w:sz w:val="21"/>
                <w:szCs w:val="21"/>
                <w:vertAlign w:val="superscript"/>
                <w:lang w:bidi="ar"/>
              </w:rPr>
              <w:t>2</w:t>
            </w:r>
            <w:r>
              <w:rPr>
                <w:rFonts w:cs="Times New Roman"/>
                <w:sz w:val="21"/>
                <w:szCs w:val="21"/>
                <w:lang w:bidi="ar"/>
              </w:rPr>
              <w:t>，新建胡长保革命烈士纪念馆1200m2，扩建烈士陵园5000m</w:t>
            </w:r>
            <w:r>
              <w:rPr>
                <w:rFonts w:cs="Times New Roman"/>
                <w:sz w:val="21"/>
                <w:szCs w:val="21"/>
                <w:vertAlign w:val="superscript"/>
                <w:lang w:bidi="ar"/>
              </w:rPr>
              <w:t>2</w:t>
            </w:r>
            <w:r>
              <w:rPr>
                <w:rFonts w:cs="Times New Roman"/>
                <w:sz w:val="21"/>
                <w:szCs w:val="21"/>
                <w:lang w:bidi="ar"/>
              </w:rPr>
              <w:t>，改建红军纪念馆2000m</w:t>
            </w:r>
            <w:r>
              <w:rPr>
                <w:rFonts w:cs="Times New Roman"/>
                <w:sz w:val="21"/>
                <w:szCs w:val="21"/>
                <w:vertAlign w:val="superscript"/>
                <w:lang w:bidi="ar"/>
              </w:rPr>
              <w:t>2</w:t>
            </w:r>
            <w:r>
              <w:rPr>
                <w:rFonts w:cs="Times New Roman"/>
                <w:sz w:val="21"/>
                <w:szCs w:val="21"/>
                <w:lang w:bidi="ar"/>
              </w:rPr>
              <w:t>，扩建爱国主义教育厅1200m</w:t>
            </w:r>
            <w:r>
              <w:rPr>
                <w:rFonts w:cs="Times New Roman"/>
                <w:sz w:val="21"/>
                <w:szCs w:val="21"/>
                <w:vertAlign w:val="superscript"/>
                <w:lang w:bidi="ar"/>
              </w:rPr>
              <w:t>2</w:t>
            </w:r>
            <w:r>
              <w:rPr>
                <w:rFonts w:cs="Times New Roman"/>
                <w:sz w:val="21"/>
                <w:szCs w:val="21"/>
                <w:lang w:bidi="ar"/>
              </w:rPr>
              <w:t>，新建荥经县革命历史纪念馆1500m</w:t>
            </w:r>
            <w:r>
              <w:rPr>
                <w:rFonts w:cs="Times New Roman"/>
                <w:sz w:val="21"/>
                <w:szCs w:val="21"/>
                <w:vertAlign w:val="superscript"/>
                <w:lang w:bidi="ar"/>
              </w:rPr>
              <w:t>2</w:t>
            </w:r>
            <w:r>
              <w:rPr>
                <w:rFonts w:cs="Times New Roman"/>
                <w:sz w:val="21"/>
                <w:szCs w:val="21"/>
                <w:lang w:bidi="ar"/>
              </w:rPr>
              <w:t>，修缮毛主席长征旧居170m</w:t>
            </w:r>
            <w:r>
              <w:rPr>
                <w:rFonts w:cs="Times New Roman"/>
                <w:sz w:val="21"/>
                <w:szCs w:val="21"/>
                <w:vertAlign w:val="superscript"/>
                <w:lang w:bidi="ar"/>
              </w:rPr>
              <w:t>2</w:t>
            </w:r>
            <w:r>
              <w:rPr>
                <w:rFonts w:cs="Times New Roman"/>
                <w:sz w:val="21"/>
                <w:szCs w:val="21"/>
                <w:lang w:bidi="ar"/>
              </w:rPr>
              <w:t>，新建红军大讲堂1500m</w:t>
            </w:r>
            <w:r>
              <w:rPr>
                <w:rFonts w:cs="Times New Roman"/>
                <w:sz w:val="21"/>
                <w:szCs w:val="21"/>
                <w:vertAlign w:val="superscript"/>
                <w:lang w:bidi="ar"/>
              </w:rPr>
              <w:t>2</w:t>
            </w:r>
            <w:r>
              <w:rPr>
                <w:rFonts w:cs="Times New Roman"/>
                <w:sz w:val="21"/>
                <w:szCs w:val="21"/>
                <w:lang w:bidi="ar"/>
              </w:rPr>
              <w:t>，新建长征纪念陈列馆2000m</w:t>
            </w:r>
            <w:r>
              <w:rPr>
                <w:rFonts w:cs="Times New Roman"/>
                <w:sz w:val="21"/>
                <w:szCs w:val="21"/>
                <w:vertAlign w:val="superscript"/>
                <w:lang w:bidi="ar"/>
              </w:rPr>
              <w:t>2</w:t>
            </w:r>
            <w:r>
              <w:rPr>
                <w:rFonts w:cs="Times New Roman"/>
                <w:sz w:val="21"/>
                <w:szCs w:val="21"/>
                <w:lang w:bidi="ar"/>
              </w:rPr>
              <w:t>，新建游客集散中心3000m</w:t>
            </w:r>
            <w:r>
              <w:rPr>
                <w:rFonts w:cs="Times New Roman"/>
                <w:sz w:val="21"/>
                <w:szCs w:val="21"/>
                <w:vertAlign w:val="superscript"/>
                <w:lang w:bidi="ar"/>
              </w:rPr>
              <w:t>2</w:t>
            </w:r>
            <w:r>
              <w:rPr>
                <w:rFonts w:cs="Times New Roman"/>
                <w:sz w:val="21"/>
                <w:szCs w:val="21"/>
                <w:lang w:bidi="ar"/>
              </w:rPr>
              <w:t>。</w:t>
            </w:r>
            <w:r>
              <w:rPr>
                <w:rFonts w:cs="Times New Roman"/>
                <w:sz w:val="21"/>
                <w:szCs w:val="21"/>
                <w:lang w:bidi="ar"/>
              </w:rPr>
              <w:br w:type="textWrapping"/>
            </w:r>
            <w:r>
              <w:rPr>
                <w:rFonts w:cs="Times New Roman"/>
                <w:sz w:val="21"/>
                <w:szCs w:val="21"/>
                <w:lang w:bidi="ar"/>
              </w:rPr>
              <w:t>2、长征文化体验区工程：新建胡长保纪念广场3500m</w:t>
            </w:r>
            <w:r>
              <w:rPr>
                <w:rFonts w:cs="Times New Roman"/>
                <w:sz w:val="21"/>
                <w:szCs w:val="21"/>
                <w:vertAlign w:val="superscript"/>
                <w:lang w:bidi="ar"/>
              </w:rPr>
              <w:t>2</w:t>
            </w:r>
            <w:r>
              <w:rPr>
                <w:rFonts w:cs="Times New Roman"/>
                <w:sz w:val="21"/>
                <w:szCs w:val="21"/>
                <w:lang w:bidi="ar"/>
              </w:rPr>
              <w:t>，红色文化长廊400m，七烈士红色拓展基地6000m</w:t>
            </w:r>
            <w:r>
              <w:rPr>
                <w:rFonts w:cs="Times New Roman"/>
                <w:sz w:val="21"/>
                <w:szCs w:val="21"/>
                <w:vertAlign w:val="superscript"/>
                <w:lang w:bidi="ar"/>
              </w:rPr>
              <w:t>2</w:t>
            </w:r>
            <w:r>
              <w:rPr>
                <w:rFonts w:cs="Times New Roman"/>
                <w:sz w:val="21"/>
                <w:szCs w:val="21"/>
                <w:lang w:bidi="ar"/>
              </w:rPr>
              <w:t>，长征文化体验中心20000m</w:t>
            </w:r>
            <w:r>
              <w:rPr>
                <w:rFonts w:cs="Times New Roman"/>
                <w:sz w:val="21"/>
                <w:szCs w:val="21"/>
                <w:vertAlign w:val="superscript"/>
                <w:lang w:bidi="ar"/>
              </w:rPr>
              <w:t>2</w:t>
            </w:r>
            <w:r>
              <w:rPr>
                <w:rFonts w:cs="Times New Roman"/>
                <w:sz w:val="21"/>
                <w:szCs w:val="21"/>
                <w:lang w:bidi="ar"/>
              </w:rPr>
              <w:t>，新建漂流道5000m。</w:t>
            </w:r>
            <w:r>
              <w:rPr>
                <w:rFonts w:cs="Times New Roman"/>
                <w:sz w:val="21"/>
                <w:szCs w:val="21"/>
                <w:lang w:bidi="ar"/>
              </w:rPr>
              <w:br w:type="textWrapping"/>
            </w:r>
            <w:r>
              <w:rPr>
                <w:rFonts w:cs="Times New Roman"/>
                <w:sz w:val="21"/>
                <w:szCs w:val="21"/>
                <w:lang w:bidi="ar"/>
              </w:rPr>
              <w:t>3、配套道路工程：新建步游道（胡长保现状雕像至长红岗段）3000m，泡桐瀑布道（泡桐桥至泡桐瀑布段）300m，新建牛背山景区道路3091m，牛背山片区熊猫绿道观光环线道路15400m，彩林步道10433m，茶马小径4396m。</w:t>
            </w:r>
            <w:r>
              <w:rPr>
                <w:rFonts w:cs="Times New Roman"/>
                <w:sz w:val="21"/>
                <w:szCs w:val="21"/>
                <w:lang w:bidi="ar"/>
              </w:rPr>
              <w:br w:type="textWrapping"/>
            </w:r>
            <w:r>
              <w:rPr>
                <w:rFonts w:cs="Times New Roman"/>
                <w:sz w:val="21"/>
                <w:szCs w:val="21"/>
                <w:lang w:bidi="ar"/>
              </w:rPr>
              <w:t>4、公共服务保障设施工程：新建停车场6000m</w:t>
            </w:r>
            <w:r>
              <w:rPr>
                <w:rFonts w:cs="Times New Roman"/>
                <w:sz w:val="21"/>
                <w:szCs w:val="21"/>
                <w:vertAlign w:val="superscript"/>
                <w:lang w:bidi="ar"/>
              </w:rPr>
              <w:t>2</w:t>
            </w:r>
            <w:r>
              <w:rPr>
                <w:rFonts w:cs="Times New Roman"/>
                <w:sz w:val="21"/>
                <w:szCs w:val="21"/>
                <w:lang w:bidi="ar"/>
              </w:rPr>
              <w:t>，胡长保烈士像1座，纪念雕塑1座，观景平台800m</w:t>
            </w:r>
            <w:r>
              <w:rPr>
                <w:rFonts w:cs="Times New Roman"/>
                <w:sz w:val="21"/>
                <w:szCs w:val="21"/>
                <w:vertAlign w:val="superscript"/>
                <w:lang w:bidi="ar"/>
              </w:rPr>
              <w:t>2</w:t>
            </w:r>
            <w:r>
              <w:rPr>
                <w:rFonts w:cs="Times New Roman"/>
                <w:sz w:val="21"/>
                <w:szCs w:val="21"/>
                <w:lang w:bidi="ar"/>
              </w:rPr>
              <w:t>，新建旅游厕所3座，标识标牌1200个，垃圾桶2500套。</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11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牛背山森林运动休闲产业园项目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一是根据《牛背山镇特色旅游规划》，建成游客接待中心、农家乐集群、星级宾馆、特色商品展销中心以及相关道路基础设施建设。二是全面完成牛背山森林户外运动休闲特色产业园建设，按4A级以上景区标准建设，完善配套服务功能，并推行“景区+园区”管理体制。建设项目有滨河景观大道、生态防洪堤、滨河水上运动项目。三是依托牛背山景区旅游开发，深度挖掘牛背山森林户外运动休闲特色小镇其他优秀旅游资源。建设项目，依托牛背山镇良好的生态环境（山上有保护完好的高山杜鹃和珙桐林），开发旅游资源；充分挖掘牛背山镇建政村红色旅游文化资源，打造红色旅游教育基地；深入挖掘红石沟极地探险运动资源。</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12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荥经县邓通钱城文化旅游综合开发项目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依托景区丰富的历史遗存、传奇的人文故事和独特的自然风光，把景区规划建设为融历史文化和田园风情，以文化体验和休闲度假为主，结合观光体验为一体的展现中国钱城文化的全国唯一特色旅游景区。项目主要分为四个开发区域：1.钱城遗址区；2.民俗风情区；3.休闲度假区；4.莲顶山观光体验区。四个区域全部建成计划总投资10亿元。</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lang w:bidi="ar"/>
              </w:rPr>
              <w:t>13</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荥经县自驾游营地建设项目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项目占地60亩，项目估算总投资5000万元，牛背山出发地。新建游客接待中心，住宿、泊车、露营、越野、休闲、餐饮、娱乐、汽车保养与维护、汽车租赁、度假、户外运动、信息服务、医疗与救援等基础设施建设。</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rPr>
              <w:t>14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中国黑砂城基础设施建设项目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黑砂城整体基础配套设施，修建房屋建筑36000平方米，其中商业门面12000平方米；汉风古城田园打造，占地面积约400亩，打造集原乡观光、文化休闲、文创体验、乡村游乐等功能于一体的汉风古城田园。</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rPr>
              <w:t>15</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荥经县竹海烟溪•水墨凤凰旅游开发项目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项目选址烟竹乡凤凰村和附城乡烟溪沟村，占地40亩，项目总投资1亿元。</w:t>
            </w:r>
            <w:r>
              <w:rPr>
                <w:rFonts w:cs="Times New Roman"/>
                <w:sz w:val="21"/>
                <w:szCs w:val="21"/>
                <w:lang w:bidi="ar"/>
              </w:rPr>
              <w:br w:type="textWrapping"/>
            </w:r>
            <w:r>
              <w:rPr>
                <w:rFonts w:cs="Times New Roman"/>
                <w:sz w:val="21"/>
                <w:szCs w:val="21"/>
                <w:lang w:bidi="ar"/>
              </w:rPr>
              <w:t>1.亲水体验观光带：依托烟溪沟溪谷沿岸生态自然水系，打造一片集亲水体验、竹文化展示、生态村寨休闲为一体的休闲观光景观带。</w:t>
            </w:r>
            <w:r>
              <w:rPr>
                <w:rFonts w:cs="Times New Roman"/>
                <w:sz w:val="21"/>
                <w:szCs w:val="21"/>
                <w:lang w:bidi="ar"/>
              </w:rPr>
              <w:br w:type="textWrapping"/>
            </w:r>
            <w:r>
              <w:rPr>
                <w:rFonts w:cs="Times New Roman"/>
                <w:sz w:val="21"/>
                <w:szCs w:val="21"/>
                <w:lang w:bidi="ar"/>
              </w:rPr>
              <w:t>2.生态观光休闲片：以竹产业为主导产业，以豪猪养殖、林下养殖、绿色瓜果、生态雅鱼为辅助产业，开发一三互动产业模式。</w:t>
            </w:r>
            <w:r>
              <w:rPr>
                <w:rFonts w:cs="Times New Roman"/>
                <w:sz w:val="21"/>
                <w:szCs w:val="21"/>
                <w:lang w:bidi="ar"/>
              </w:rPr>
              <w:br w:type="textWrapping"/>
            </w:r>
            <w:r>
              <w:rPr>
                <w:rFonts w:cs="Times New Roman"/>
                <w:sz w:val="21"/>
                <w:szCs w:val="21"/>
                <w:lang w:bidi="ar"/>
              </w:rPr>
              <w:t>3.乡村旅游配套设施：加强河道景观、步游道、生态垃圾箱、生态停车场、生态厕所等公共配套设施的建设，提升接待服务规模，打造溪谷客栈、竹云山庄等星级农家乐和乡村酒店。</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cs="Times New Roman"/>
                <w:sz w:val="21"/>
                <w:szCs w:val="21"/>
              </w:rPr>
              <w:t>16</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黑砂文化演艺中心</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以黑砂为主题的演艺中心，主要由体育馆、影院、剧院等构成，周边配套有零售商店、酒店、音乐厅等多功能商业娱乐设施，是融体育、演艺活动为一体的大型综合性场馆。</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17</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荥经县茶马古道文旅综合开发项目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项目包括茶马古道城、茶马古道景区（宝峰彝族乡温泉度假区）两个板块。其中，茶马古道城修复古建筑约150亩，新建或恢复茶马古道城商用建筑50亩，建设非营利性基础设施100亩，建设占地295亩的茶马古城配套功能新区。茶马古道景区按一般体验区及深度体验区复原部分茶马古道，建设配套旅游公路。</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18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荥经书城文化综合体</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总建筑面积1万平方米,建设传统的图书大卖场，设置24小时简阅·书吧，配套出版工作室等内容生产板块。围绕图书配置打造创意产品，开展书城培训，设置了与书业相辅相成的文化与生活空间，让读者尽享文化休闲之乐。实施书城+影院、+培训、+休闲的模式，引进3D打印、动漫虚拟场景空间、COSPLAY表演等科技类、互动性项目。策划“荥经晚八点”等重点活动，设置文化体验馆，搭建传承与创新的展演平台。实现“书城+科技、书城+动漫、书城+金融”全方位发展。</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19</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荥经县周坪熊猫民宿乡村旅游产业园</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续建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Times New Roman"/>
                <w:sz w:val="21"/>
                <w:szCs w:val="21"/>
                <w:lang w:bidi="ar"/>
              </w:rPr>
            </w:pPr>
            <w:r>
              <w:rPr>
                <w:rFonts w:cs="Times New Roman"/>
                <w:color w:val="000000"/>
                <w:sz w:val="21"/>
                <w:szCs w:val="21"/>
                <w:lang w:bidi="ar"/>
              </w:rPr>
              <w:t>以“熊猫世界•美好家园”为主题，打造“滋润龙苍沟•大熊猫公园”，打造旅游集散、民俗展示、休闲度假等功能为一体的“特色民宿聚落”，推动乡村振兴示范建成一个能探索大熊猫国家公园荥经公园+居民的文化、乡村、生态休闲、康养为主的国际国内知名乡村旅游产业园区。</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20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荥经县龙苍沟白井沟冷水鱼农旅融合养生度假产业园</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续建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Times New Roman"/>
                <w:sz w:val="21"/>
                <w:szCs w:val="21"/>
                <w:lang w:bidi="ar"/>
              </w:rPr>
            </w:pPr>
            <w:r>
              <w:rPr>
                <w:rFonts w:cs="Times New Roman"/>
                <w:color w:val="000000"/>
                <w:sz w:val="21"/>
                <w:szCs w:val="21"/>
                <w:lang w:bidi="ar"/>
              </w:rPr>
              <w:t>位于我镇北部区域，白井沟水质好，非常适合鲟鳇鱼、雅鱼等冷水鱼养殖，配合熊猫温泉小镇和森林旅游开发，配套旅游度假项目，规划布局旅游点位三处，分别是现大树组原桃子坪煤厂处，规划发展鲟鳇鱼等冷水鱼养殖，实施范围约260余亩，布局建设用地80余亩，配套农旅融合体验式民宿集群；平安矿业处，通过矿山开采盘活土地约160余亩，布局建设用地45亩左右，打造森林野奢民宿集群和房车营地；现雅鱼庄位置，规划打造全雅安最大的生态雅鱼养殖基地，实施范围300余亩，规划布局建设用地120亩，配套农旅融合体验式民宿集群、野奢度假区。</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
              </w:rPr>
            </w:pPr>
            <w:r>
              <w:rPr>
                <w:rFonts w:cs="Times New Roman"/>
                <w:sz w:val="21"/>
                <w:szCs w:val="21"/>
                <w:lang w:bidi="ar"/>
              </w:rPr>
              <w:t>21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四川·荥经漫竹坪休闲度假中心</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rPr>
              <w:t>建设项目总体空间布局为一镇一山，一镇指温泉小镇，一山指山地旅游区。</w:t>
            </w:r>
          </w:p>
          <w:p>
            <w:pPr>
              <w:spacing w:line="240" w:lineRule="auto"/>
              <w:ind w:firstLine="0" w:firstLineChars="0"/>
              <w:rPr>
                <w:rFonts w:cs="Times New Roman"/>
                <w:sz w:val="21"/>
                <w:szCs w:val="21"/>
                <w:lang w:bidi="ar"/>
              </w:rPr>
            </w:pPr>
            <w:r>
              <w:rPr>
                <w:rFonts w:cs="Times New Roman"/>
                <w:sz w:val="21"/>
                <w:szCs w:val="21"/>
              </w:rPr>
              <w:t>温泉小镇包括温泉度假中心、康养酒店区温泉酒店区、亲水游乐区、露营基地、休闲水街、红色文化展示区、民俗体验区。山地旅游区包括山地观光区山、地运动休闲区山、麓休闲度假区、蔚蓝星空山极酒店。</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default" w:eastAsia="仿宋_GB2312" w:cs="Times New Roman"/>
                <w:sz w:val="21"/>
                <w:szCs w:val="21"/>
                <w:lang w:val="en-US" w:eastAsia="zh-CN" w:bidi="ar"/>
              </w:rPr>
            </w:pPr>
            <w:r>
              <w:rPr>
                <w:rFonts w:hint="eastAsia" w:cs="Times New Roman"/>
                <w:sz w:val="21"/>
                <w:szCs w:val="21"/>
                <w:lang w:val="en-US" w:eastAsia="zh-CN" w:bidi="ar"/>
              </w:rPr>
              <w:t>22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砂茶共舞·茶马古道走廊带示范中心</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lang w:bidi="ar"/>
              </w:rPr>
            </w:pPr>
            <w:r>
              <w:rPr>
                <w:rFonts w:cs="Times New Roman"/>
                <w:sz w:val="21"/>
                <w:szCs w:val="21"/>
              </w:rPr>
              <w:t>建设内容包括：1茶马古道：新添站、姜家大院、刘家大院、严道古城、靖口站、大通桥、崔石堡、黄仪堡、周公桥、二台子桥、重修大相岭路桥碑；2南丝路：马落崖、何君尊楗阁刻石、九折坂。其中，对茶马古道、南丝路周围进行环境整治，拆除文物建控范围内违规建筑，文物本体进行加固维修，安装消防安防实施，整改并完善卫生间、电网、水网等旅游配套设施；古道维新建接待和管理配套设施10000平方米</w:t>
            </w:r>
            <w:r>
              <w:rPr>
                <w:rFonts w:hint="eastAsia" w:cs="Times New Roman"/>
                <w:sz w:val="21"/>
                <w:szCs w:val="21"/>
              </w:rPr>
              <w:t>。</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default" w:eastAsia="仿宋_GB2312" w:cs="Times New Roman"/>
                <w:sz w:val="21"/>
                <w:szCs w:val="21"/>
                <w:lang w:val="en-US" w:eastAsia="zh-CN" w:bidi="ar"/>
              </w:rPr>
            </w:pPr>
            <w:r>
              <w:rPr>
                <w:rFonts w:hint="eastAsia" w:cs="Times New Roman"/>
                <w:sz w:val="21"/>
                <w:szCs w:val="21"/>
                <w:lang w:val="en-US" w:eastAsia="zh-CN" w:bidi="ar"/>
              </w:rPr>
              <w:t>23</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花滩镇齐心村文旅开发项目</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rPr>
              <w:t>新建</w:t>
            </w:r>
          </w:p>
        </w:tc>
        <w:tc>
          <w:tcPr>
            <w:tcW w:w="43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lang w:bidi="ar"/>
              </w:rPr>
            </w:pPr>
            <w:r>
              <w:rPr>
                <w:rFonts w:cs="Times New Roman"/>
                <w:sz w:val="21"/>
                <w:szCs w:val="21"/>
              </w:rPr>
              <w:t>村庄综合性公共服务中心建设。围绕齐心最美古村落，开发旅游资源，推动农村公共服务设施改扩建，对齐心村四合院改造，以新农村建设，把四合院现有住户置换出来，建设康养基地，着力打造文旅融合示范点</w:t>
            </w:r>
            <w:r>
              <w:rPr>
                <w:rFonts w:hint="eastAsia" w:cs="Times New Roman"/>
                <w:sz w:val="21"/>
                <w:szCs w:val="21"/>
              </w:rPr>
              <w:t>。</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bl>
    <w:p>
      <w:pPr>
        <w:pStyle w:val="5"/>
        <w:keepNext w:val="0"/>
        <w:keepLines w:val="0"/>
        <w:pageBreakBefore w:val="0"/>
        <w:numPr>
          <w:ilvl w:val="0"/>
          <w:numId w:val="0"/>
        </w:numPr>
        <w:kinsoku/>
        <w:wordWrap/>
        <w:overflowPunct/>
        <w:topLinePunct w:val="0"/>
        <w:autoSpaceDE/>
        <w:autoSpaceDN/>
        <w:bidi w:val="0"/>
        <w:adjustRightInd/>
        <w:snapToGrid/>
        <w:spacing w:line="576" w:lineRule="exact"/>
        <w:ind w:leftChars="200"/>
        <w:jc w:val="both"/>
        <w:textAlignment w:val="auto"/>
        <w:rPr>
          <w:rFonts w:cs="Times New Roman"/>
        </w:rPr>
      </w:pPr>
      <w:bookmarkStart w:id="109" w:name="_Toc20028"/>
      <w:bookmarkStart w:id="110" w:name="_Toc1297"/>
      <w:bookmarkStart w:id="111" w:name="_Toc27638"/>
      <w:r>
        <w:rPr>
          <w:rFonts w:hint="eastAsia" w:cs="Times New Roman"/>
          <w:lang w:val="en-US" w:eastAsia="zh-CN"/>
        </w:rPr>
        <w:t>2.</w:t>
      </w:r>
      <w:r>
        <w:rPr>
          <w:rFonts w:cs="Times New Roman"/>
        </w:rPr>
        <w:t>商业贸易</w:t>
      </w:r>
      <w:bookmarkEnd w:id="109"/>
      <w:bookmarkEnd w:id="110"/>
      <w:bookmarkEnd w:id="111"/>
    </w:p>
    <w:p>
      <w:pPr>
        <w:pStyle w:val="6"/>
        <w:keepNext w:val="0"/>
        <w:keepLines w:val="0"/>
        <w:pageBreakBefore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目标定位</w:t>
      </w:r>
    </w:p>
    <w:p>
      <w:pPr>
        <w:keepNext w:val="0"/>
        <w:keepLines w:val="0"/>
        <w:pageBreakBefore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rPr>
        <w:t>加快建立满足消费升级需要的产品和服务体系，打造彰显荥经文化特色的区域消费中心，</w:t>
      </w:r>
      <w:r>
        <w:rPr>
          <w:rFonts w:hint="eastAsia" w:ascii="仿宋_GB2312" w:hAnsi="仿宋_GB2312" w:eastAsia="仿宋_GB2312" w:cs="仿宋_GB2312"/>
        </w:rPr>
        <w:t>力争到2025年，实现由传统商贸向现代商贸的转型升级，</w:t>
      </w:r>
      <w:r>
        <w:rPr>
          <w:rFonts w:hint="eastAsia" w:ascii="仿宋_GB2312" w:hAnsi="仿宋_GB2312" w:eastAsia="仿宋_GB2312" w:cs="仿宋_GB2312"/>
          <w:szCs w:val="32"/>
        </w:rPr>
        <w:t>社会消费品零售总额达到50亿元，建成商业集聚区4个，商业步行街3条。</w:t>
      </w:r>
    </w:p>
    <w:p>
      <w:pPr>
        <w:pStyle w:val="6"/>
        <w:keepNext w:val="0"/>
        <w:keepLines w:val="0"/>
        <w:pageBreakBefore w:val="0"/>
        <w:widowControl/>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重点任务</w:t>
      </w:r>
    </w:p>
    <w:p>
      <w:pPr>
        <w:keepNext w:val="0"/>
        <w:keepLines w:val="0"/>
        <w:pageBreakBefore w:val="0"/>
        <w:kinsoku/>
        <w:wordWrap/>
        <w:overflowPunct/>
        <w:topLinePunct w:val="0"/>
        <w:autoSpaceDE/>
        <w:autoSpaceDN/>
        <w:bidi w:val="0"/>
        <w:adjustRightInd/>
        <w:snapToGrid/>
        <w:spacing w:line="576" w:lineRule="exact"/>
        <w:ind w:firstLine="643"/>
        <w:jc w:val="both"/>
        <w:textAlignment w:val="auto"/>
      </w:pPr>
      <w:r>
        <w:rPr>
          <w:rFonts w:cs="Times New Roman"/>
          <w:b/>
          <w:bCs/>
        </w:rPr>
        <w:t>高品质打造</w:t>
      </w:r>
      <w:r>
        <w:rPr>
          <w:rFonts w:hint="eastAsia" w:cs="Times New Roman"/>
          <w:b/>
          <w:bCs/>
          <w:lang w:val="en-US" w:eastAsia="zh-CN"/>
        </w:rPr>
        <w:t>一批</w:t>
      </w:r>
      <w:r>
        <w:rPr>
          <w:rFonts w:cs="Times New Roman"/>
          <w:b/>
          <w:bCs/>
        </w:rPr>
        <w:t>商贸集聚区，推动产业集聚发展</w:t>
      </w:r>
      <w:r>
        <w:rPr>
          <w:rFonts w:cs="Times New Roman"/>
        </w:rPr>
        <w:t>。根据荥经县城市发展格局和人口集聚程度，围绕商圈潮购、街区雅集、生态休憩、健康脉动、文艺风尚、邻里生活等消费场景，规划打造城区</w:t>
      </w:r>
      <w:r>
        <w:rPr>
          <w:rFonts w:hint="eastAsia" w:cs="Times New Roman"/>
          <w:lang w:val="en-US" w:eastAsia="zh-CN"/>
        </w:rPr>
        <w:t>一批</w:t>
      </w:r>
      <w:r>
        <w:rPr>
          <w:rFonts w:cs="Times New Roman"/>
        </w:rPr>
        <w:t>商贸集聚区</w:t>
      </w:r>
      <w:r>
        <w:rPr>
          <w:rFonts w:hint="eastAsia" w:cs="Times New Roman"/>
          <w:lang w:eastAsia="zh-CN"/>
        </w:rPr>
        <w:t>。</w:t>
      </w:r>
      <w:r>
        <w:rPr>
          <w:rFonts w:hint="eastAsia" w:ascii="仿宋_GB2312" w:hAnsi="仿宋" w:eastAsia="仿宋_GB2312"/>
          <w:b w:val="0"/>
          <w:bCs w:val="0"/>
          <w:color w:val="000000"/>
          <w:sz w:val="32"/>
          <w:szCs w:val="32"/>
        </w:rPr>
        <w:t>打造</w:t>
      </w:r>
      <w:r>
        <w:rPr>
          <w:rFonts w:cs="Times New Roman"/>
        </w:rPr>
        <w:t>财富中心商业购物集聚区</w:t>
      </w:r>
      <w:r>
        <w:rPr>
          <w:rFonts w:hint="eastAsia" w:cs="Times New Roman"/>
          <w:lang w:eastAsia="zh-CN"/>
        </w:rPr>
        <w:t>，</w:t>
      </w:r>
      <w:r>
        <w:rPr>
          <w:rFonts w:cs="Times New Roman"/>
        </w:rPr>
        <w:t>依托财富中心，积极引入高品质商贸业态，加快时尚品牌、轻奢品牌、品质餐饮、星级酒店等业态集聚，建设成为集购物、休闲娱乐、美食、商旅等功能于一体的区域性消费中心和品质消费目的地。</w:t>
      </w:r>
      <w:r>
        <w:rPr>
          <w:rFonts w:hint="eastAsia" w:ascii="仿宋_GB2312" w:hAnsi="仿宋" w:eastAsia="仿宋_GB2312"/>
          <w:b w:val="0"/>
          <w:bCs w:val="0"/>
          <w:color w:val="000000"/>
          <w:sz w:val="32"/>
          <w:szCs w:val="32"/>
        </w:rPr>
        <w:t>打造</w:t>
      </w:r>
      <w:r>
        <w:rPr>
          <w:rFonts w:cs="Times New Roman"/>
        </w:rPr>
        <w:t>鸿林新城特色餐饮集聚区</w:t>
      </w:r>
      <w:r>
        <w:rPr>
          <w:rFonts w:hint="eastAsia" w:cs="Times New Roman"/>
          <w:lang w:eastAsia="zh-CN"/>
        </w:rPr>
        <w:t>，</w:t>
      </w:r>
      <w:r>
        <w:rPr>
          <w:rFonts w:cs="Times New Roman"/>
        </w:rPr>
        <w:t>以颛顼广场、鸿林新城仿古街、</w:t>
      </w:r>
      <w:r>
        <w:rPr>
          <w:rFonts w:hint="eastAsia" w:cs="Times New Roman"/>
          <w:lang w:val="en-US" w:eastAsia="zh-CN"/>
        </w:rPr>
        <w:t>青华美食街</w:t>
      </w:r>
      <w:r>
        <w:rPr>
          <w:rFonts w:cs="Times New Roman"/>
        </w:rPr>
        <w:t>为重点，打造</w:t>
      </w:r>
      <w:r>
        <w:rPr>
          <w:rFonts w:hint="eastAsia" w:cs="Times New Roman"/>
          <w:lang w:val="en-US" w:eastAsia="zh-CN"/>
        </w:rPr>
        <w:t>严道里</w:t>
      </w:r>
      <w:r>
        <w:rPr>
          <w:rFonts w:cs="Times New Roman"/>
        </w:rPr>
        <w:t>美食广场，颛顼广场夜生活中心、七星园仿古街旅游特色商品街、滨河美食特色街区，不断提升消费承载能力和服务业水平，建设成为荥经特色消费集聚区。</w:t>
      </w:r>
      <w:r>
        <w:rPr>
          <w:rFonts w:hint="eastAsia" w:ascii="仿宋_GB2312" w:hAnsi="仿宋" w:eastAsia="仿宋_GB2312"/>
          <w:b w:val="0"/>
          <w:bCs w:val="0"/>
          <w:color w:val="000000"/>
          <w:sz w:val="32"/>
          <w:szCs w:val="32"/>
        </w:rPr>
        <w:t>打造尚品国际休闲文化区</w:t>
      </w:r>
      <w:r>
        <w:rPr>
          <w:rFonts w:hint="eastAsia" w:cs="Times New Roman"/>
          <w:lang w:eastAsia="zh-CN"/>
        </w:rPr>
        <w:t>，</w:t>
      </w:r>
      <w:r>
        <w:rPr>
          <w:rFonts w:cs="Times New Roman"/>
        </w:rPr>
        <w:t>以尚品国际、金河广场为核心，积极提升打造商业步行街，推动经营业态调整，积极招引知名品牌服饰、餐饮、教育、娱乐等业态，建设成为集购物、休闲娱乐、亲子教育、餐饮等多种业态于一体的，满足本地居民消费休闲需求的综合性消费中心。</w:t>
      </w:r>
      <w:r>
        <w:rPr>
          <w:rFonts w:hint="eastAsia" w:ascii="仿宋_GB2312" w:hAnsi="仿宋" w:eastAsia="仿宋_GB2312"/>
          <w:b w:val="0"/>
          <w:bCs w:val="0"/>
          <w:color w:val="000000"/>
          <w:sz w:val="32"/>
          <w:szCs w:val="32"/>
        </w:rPr>
        <w:t>打造</w:t>
      </w:r>
      <w:r>
        <w:rPr>
          <w:rFonts w:cs="Times New Roman"/>
        </w:rPr>
        <w:t>德能新城商贸流通集聚区</w:t>
      </w:r>
      <w:r>
        <w:rPr>
          <w:rFonts w:hint="eastAsia" w:cs="Times New Roman"/>
          <w:lang w:eastAsia="zh-CN"/>
        </w:rPr>
        <w:t>，</w:t>
      </w:r>
      <w:r>
        <w:rPr>
          <w:rFonts w:cs="Times New Roman"/>
        </w:rPr>
        <w:t>依托德能新城项目，鼓励引进购物中心、城市夜市、连锁超市、大众餐饮等业态，培育形成满足居民品质生活需求、高端商务需求的综合商务商贸区。</w:t>
      </w:r>
      <w:r>
        <w:rPr>
          <w:rFonts w:hint="eastAsia" w:ascii="仿宋_GB2312" w:hAnsi="仿宋" w:eastAsia="仿宋_GB2312"/>
          <w:b w:val="0"/>
          <w:bCs w:val="0"/>
          <w:color w:val="000000"/>
          <w:sz w:val="32"/>
          <w:szCs w:val="32"/>
        </w:rPr>
        <w:t>打造</w:t>
      </w:r>
      <w:r>
        <w:rPr>
          <w:rFonts w:hint="eastAsia" w:ascii="仿宋_GB2312" w:hAnsi="仿宋_GB2312" w:eastAsia="仿宋_GB2312" w:cs="仿宋_GB2312"/>
          <w:b w:val="0"/>
          <w:bCs w:val="0"/>
          <w:color w:val="000000"/>
          <w:sz w:val="32"/>
          <w:szCs w:val="32"/>
        </w:rPr>
        <w:t>若水古城休闲购物区，</w:t>
      </w:r>
      <w:r>
        <w:rPr>
          <w:rFonts w:hint="eastAsia" w:ascii="仿宋_GB2312" w:hAnsi="仿宋_GB2312" w:eastAsia="仿宋_GB2312" w:cs="仿宋_GB2312"/>
          <w:b w:val="0"/>
          <w:bCs w:val="0"/>
          <w:color w:val="000000"/>
          <w:sz w:val="32"/>
          <w:szCs w:val="32"/>
          <w:lang w:val="en-US" w:eastAsia="zh-CN"/>
        </w:rPr>
        <w:t>集聚</w:t>
      </w:r>
      <w:r>
        <w:rPr>
          <w:rFonts w:hint="eastAsia" w:ascii="仿宋_GB2312" w:hAnsi="仿宋_GB2312" w:eastAsia="仿宋_GB2312" w:cs="仿宋_GB2312"/>
          <w:b w:val="0"/>
          <w:bCs w:val="0"/>
          <w:color w:val="000000"/>
          <w:sz w:val="32"/>
          <w:szCs w:val="32"/>
        </w:rPr>
        <w:t>时尚轻奢、</w:t>
      </w:r>
      <w:r>
        <w:rPr>
          <w:rFonts w:hint="eastAsia" w:ascii="仿宋_GB2312" w:hAnsi="仿宋" w:eastAsia="仿宋_GB2312"/>
          <w:b w:val="0"/>
          <w:bCs w:val="0"/>
          <w:color w:val="000000"/>
          <w:sz w:val="32"/>
          <w:szCs w:val="32"/>
        </w:rPr>
        <w:t>品质餐饮等业态，建设区域性消费中心。打造</w:t>
      </w:r>
      <w:r>
        <w:rPr>
          <w:rFonts w:hint="eastAsia" w:ascii="仿宋_GB2312" w:hAnsi="仿宋_GB2312" w:eastAsia="仿宋_GB2312" w:cs="仿宋_GB2312"/>
          <w:b w:val="0"/>
          <w:bCs w:val="0"/>
          <w:color w:val="000000"/>
          <w:sz w:val="32"/>
          <w:szCs w:val="32"/>
        </w:rPr>
        <w:t>两河新城商贸流通区，</w:t>
      </w:r>
      <w:r>
        <w:rPr>
          <w:rFonts w:hint="eastAsia" w:ascii="仿宋_GB2312" w:hAnsi="仿宋" w:eastAsia="仿宋_GB2312"/>
          <w:b w:val="0"/>
          <w:bCs w:val="0"/>
          <w:color w:val="000000"/>
          <w:sz w:val="32"/>
          <w:szCs w:val="32"/>
        </w:rPr>
        <w:t>引进购物中心、城市夜市等业态，布局快递物流，建设综合商贸区。</w:t>
      </w:r>
    </w:p>
    <w:p>
      <w:pPr>
        <w:keepNext w:val="0"/>
        <w:keepLines w:val="0"/>
        <w:pageBreakBefore w:val="0"/>
        <w:kinsoku/>
        <w:wordWrap/>
        <w:overflowPunct/>
        <w:topLinePunct w:val="0"/>
        <w:autoSpaceDE/>
        <w:autoSpaceDN/>
        <w:bidi w:val="0"/>
        <w:adjustRightInd/>
        <w:snapToGrid/>
        <w:spacing w:line="576" w:lineRule="exact"/>
        <w:ind w:firstLine="643"/>
        <w:jc w:val="both"/>
        <w:textAlignment w:val="auto"/>
        <w:rPr>
          <w:rFonts w:cs="Times New Roman"/>
        </w:rPr>
      </w:pPr>
      <w:r>
        <w:rPr>
          <w:rFonts w:cs="Times New Roman"/>
          <w:b/>
          <w:bCs/>
        </w:rPr>
        <w:t>积极培育夜间经济场景，满足居民消费升级需求。</w:t>
      </w:r>
      <w:r>
        <w:rPr>
          <w:rFonts w:cs="Times New Roman"/>
        </w:rPr>
        <w:t>积极推进夜间经济消费场景营造，丰富夜间经济消费业态，提升夜间经济消费环境，促进消费升级。营造夜间经济消费场景</w:t>
      </w:r>
      <w:r>
        <w:rPr>
          <w:rFonts w:hint="eastAsia" w:cs="Times New Roman"/>
        </w:rPr>
        <w:t>。</w:t>
      </w:r>
      <w:r>
        <w:rPr>
          <w:rFonts w:cs="Times New Roman"/>
        </w:rPr>
        <w:t>依托颛顼广场、鸿林新城仿古街、城西农贸市场，以“美食广场”烧烤、冷淡杯等美食为切入点，打造荥经特色夜间经济集聚区。以县财富中心、</w:t>
      </w:r>
      <w:r>
        <w:rPr>
          <w:rFonts w:hint="eastAsia" w:cs="Times New Roman"/>
          <w:lang w:val="en-US" w:eastAsia="zh-CN"/>
        </w:rPr>
        <w:t>鸿林小区、县体育场、县体育馆为核心，围绕原有购物综合体、老商埠、购物街区等商贸载体，打造荥经夜游购物示范街区。以严道里美食广场、鸿林新城片区和体育馆片区为示范街区，重点布局特色餐馆、</w:t>
      </w:r>
      <w:r>
        <w:rPr>
          <w:rFonts w:cs="Times New Roman"/>
        </w:rPr>
        <w:t>地方畅销夜宵等特色美食，打造夜间美食示范街区。对县城老街、蜀山路休闲文化风情街、金河广场购物步行街等具有特色的步行街改造提升，打造成为荥经商业网红街</w:t>
      </w:r>
      <w:r>
        <w:rPr>
          <w:rFonts w:hint="eastAsia" w:cs="Times New Roman"/>
        </w:rPr>
        <w:t>。</w:t>
      </w:r>
      <w:r>
        <w:rPr>
          <w:rFonts w:cs="Times New Roman"/>
        </w:rPr>
        <w:t>丰富夜间经济消费业态</w:t>
      </w:r>
      <w:r>
        <w:rPr>
          <w:rFonts w:hint="eastAsia" w:cs="Times New Roman"/>
        </w:rPr>
        <w:t>。</w:t>
      </w:r>
      <w:r>
        <w:rPr>
          <w:rFonts w:cs="Times New Roman"/>
        </w:rPr>
        <w:t>繁荣荥经夜间经济活动内容和方式，通过延长文体旅现有日间设施的开放时间，开展黑砂文化相关夜间活动等方式，丰富夜间经济文化体验消费业态。通过举办各类美食节、小吃节、啤酒节、餐饮嘉年华等活动，丰富夜间经济特色餐饮消费业态。通过延长商贸主体营业时间，开展各类夜间营销活动、夜间消费活动，丰富夜间经济时尚购物消费业态。通过引进特色精品民宿、主题文化酒店，融入主题派对、露天影院等夜间经济活动，丰富夜间经济品质休闲消费业态。</w:t>
      </w:r>
    </w:p>
    <w:p>
      <w:pPr>
        <w:keepNext w:val="0"/>
        <w:keepLines w:val="0"/>
        <w:pageBreakBefore w:val="0"/>
        <w:kinsoku/>
        <w:wordWrap/>
        <w:overflowPunct/>
        <w:topLinePunct w:val="0"/>
        <w:autoSpaceDE/>
        <w:autoSpaceDN/>
        <w:bidi w:val="0"/>
        <w:adjustRightInd/>
        <w:snapToGrid/>
        <w:spacing w:line="576" w:lineRule="exact"/>
        <w:ind w:firstLine="643"/>
        <w:jc w:val="both"/>
        <w:textAlignment w:val="auto"/>
        <w:rPr>
          <w:rFonts w:cs="Times New Roman"/>
          <w:szCs w:val="32"/>
        </w:rPr>
      </w:pPr>
      <w:r>
        <w:rPr>
          <w:rFonts w:cs="Times New Roman"/>
          <w:b/>
          <w:bCs/>
          <w:szCs w:val="32"/>
        </w:rPr>
        <w:t>加速推动产业融合发展，发挥荥经特色产业优势</w:t>
      </w:r>
      <w:r>
        <w:rPr>
          <w:rFonts w:cs="Times New Roman"/>
          <w:szCs w:val="32"/>
        </w:rPr>
        <w:t>。抢抓成渝双城经济圈建设机遇，充分利用荥经县特色农业优势，促进农业与商贸业相互带动，着力壮大特色茶叶销售市场，发挥荥经黄金茶、荥经枇杷茶、荥经边</w:t>
      </w:r>
      <w:r>
        <w:rPr>
          <w:rFonts w:hint="eastAsia" w:cs="Times New Roman"/>
          <w:szCs w:val="32"/>
        </w:rPr>
        <w:t>销</w:t>
      </w:r>
      <w:r>
        <w:rPr>
          <w:rFonts w:cs="Times New Roman"/>
          <w:szCs w:val="32"/>
        </w:rPr>
        <w:t>茶等茶叶品牌优势，做大做强</w:t>
      </w:r>
      <w:r>
        <w:rPr>
          <w:rFonts w:hint="eastAsia" w:cs="Times New Roman"/>
          <w:szCs w:val="32"/>
        </w:rPr>
        <w:t>“</w:t>
      </w:r>
      <w:r>
        <w:rPr>
          <w:rFonts w:cs="Times New Roman"/>
          <w:szCs w:val="32"/>
        </w:rPr>
        <w:t>姜氏古茶</w:t>
      </w:r>
      <w:r>
        <w:rPr>
          <w:rFonts w:hint="eastAsia" w:cs="Times New Roman"/>
          <w:szCs w:val="32"/>
        </w:rPr>
        <w:t>”“塔山</w:t>
      </w:r>
      <w:r>
        <w:rPr>
          <w:rFonts w:cs="Times New Roman"/>
          <w:szCs w:val="32"/>
        </w:rPr>
        <w:t>茶叶</w:t>
      </w:r>
      <w:r>
        <w:rPr>
          <w:rFonts w:hint="eastAsia" w:cs="Times New Roman"/>
          <w:szCs w:val="32"/>
        </w:rPr>
        <w:t>”“</w:t>
      </w:r>
      <w:r>
        <w:rPr>
          <w:rFonts w:cs="Times New Roman"/>
          <w:szCs w:val="32"/>
        </w:rPr>
        <w:t>牛背清泉</w:t>
      </w:r>
      <w:r>
        <w:rPr>
          <w:rFonts w:hint="eastAsia" w:cs="Times New Roman"/>
          <w:szCs w:val="32"/>
        </w:rPr>
        <w:t>”</w:t>
      </w:r>
      <w:r>
        <w:rPr>
          <w:rFonts w:cs="Times New Roman"/>
          <w:szCs w:val="32"/>
        </w:rPr>
        <w:t>等地方产业企业品牌，加强品牌营销，鼓励重点开拓藏区市场，积极开拓壮大茶叶销售市场，将荥经打造成为藏区产业的主要供应区，成渝地区特色有机农产品供给地。</w:t>
      </w:r>
    </w:p>
    <w:p>
      <w:pPr>
        <w:keepNext w:val="0"/>
        <w:keepLines w:val="0"/>
        <w:pageBreakBefore w:val="0"/>
        <w:kinsoku/>
        <w:wordWrap/>
        <w:overflowPunct/>
        <w:topLinePunct w:val="0"/>
        <w:autoSpaceDE/>
        <w:autoSpaceDN/>
        <w:bidi w:val="0"/>
        <w:adjustRightInd/>
        <w:snapToGrid/>
        <w:spacing w:line="576" w:lineRule="exact"/>
        <w:ind w:firstLine="643"/>
        <w:jc w:val="both"/>
        <w:textAlignment w:val="auto"/>
        <w:rPr>
          <w:rFonts w:cs="Times New Roman"/>
        </w:rPr>
      </w:pPr>
      <w:r>
        <w:rPr>
          <w:rFonts w:cs="Times New Roman"/>
          <w:b/>
          <w:bCs/>
          <w:szCs w:val="32"/>
        </w:rPr>
        <w:t>优化商业贸易发展环境，激发市场活力和创造力</w:t>
      </w:r>
      <w:r>
        <w:rPr>
          <w:rFonts w:cs="Times New Roman"/>
          <w:szCs w:val="32"/>
        </w:rPr>
        <w:t>。</w:t>
      </w:r>
      <w:r>
        <w:rPr>
          <w:rFonts w:cs="Times New Roman"/>
        </w:rPr>
        <w:t>通过强化基础设施建设，营造诚信经营环境，健全消费者保护机制等举措，为荥经营造良好的商业发展氛围，激活商贸市场活力，提升商贸主体创造力。强化基础设施建设</w:t>
      </w:r>
      <w:r>
        <w:rPr>
          <w:rFonts w:hint="eastAsia" w:cs="Times New Roman"/>
        </w:rPr>
        <w:t>。</w:t>
      </w:r>
      <w:r>
        <w:rPr>
          <w:rFonts w:cs="Times New Roman"/>
        </w:rPr>
        <w:t>提升商贸市场环境硬件设施，加快建设智能停车场、公厕、城市共同配送点、咨询中心，改造提升商贸载体形象，美化载体立面，统一门头标牌，打造标志性商贸载体。营造诚信经营环境</w:t>
      </w:r>
      <w:r>
        <w:rPr>
          <w:rFonts w:hint="eastAsia" w:cs="Times New Roman"/>
        </w:rPr>
        <w:t>。</w:t>
      </w:r>
      <w:r>
        <w:rPr>
          <w:rFonts w:cs="Times New Roman"/>
        </w:rPr>
        <w:t>规范商户的经营行为，探索失信企业惩罚制度。打造信用示范街，建设社会信用管理平台，引领商贸市场文明建设。完善消费领域赔偿制度，加大对侵权行为的惩处力度，形成市场主体自治，行业自律、社会监督、政府监管的社会共治格局。健全消费者保护机制</w:t>
      </w:r>
      <w:r>
        <w:rPr>
          <w:rFonts w:hint="eastAsia" w:cs="Times New Roman"/>
        </w:rPr>
        <w:t>。</w:t>
      </w:r>
      <w:r>
        <w:rPr>
          <w:rFonts w:cs="Times New Roman"/>
        </w:rPr>
        <w:t>督促商户做到真材实料，明码标价，依法严惩价格失信行为。严厉打击制售假冒伪劣产品、虚假宣传、侵害消费者个人信息安全等违法行为。</w:t>
      </w:r>
    </w:p>
    <w:p>
      <w:pPr>
        <w:pStyle w:val="6"/>
        <w:keepNext w:val="0"/>
        <w:keepLines w:val="0"/>
        <w:pageBreakBefore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cs="Times New Roman"/>
        </w:rPr>
        <w:t>重点项目</w:t>
      </w:r>
    </w:p>
    <w:p>
      <w:pPr>
        <w:pStyle w:val="41"/>
        <w:numPr>
          <w:ilvl w:val="0"/>
          <w:numId w:val="0"/>
        </w:numPr>
        <w:ind w:leftChars="0"/>
        <w:jc w:val="center"/>
        <w:rPr>
          <w:rFonts w:cs="Times New Roman"/>
        </w:rPr>
      </w:pPr>
      <w:r>
        <w:rPr>
          <w:rFonts w:hint="eastAsia" w:cs="Times New Roman"/>
          <w:lang w:val="en-US" w:eastAsia="zh-CN"/>
        </w:rPr>
        <w:t xml:space="preserve">表4  </w:t>
      </w:r>
      <w:r>
        <w:rPr>
          <w:rFonts w:cs="Times New Roman"/>
        </w:rPr>
        <w:t>荥经县“十四五”商业贸易业重点项目表</w:t>
      </w:r>
    </w:p>
    <w:tbl>
      <w:tblPr>
        <w:tblStyle w:val="20"/>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518"/>
        <w:gridCol w:w="703"/>
        <w:gridCol w:w="4332"/>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lang w:bidi="ar"/>
              </w:rPr>
              <w:t>序号</w:t>
            </w:r>
          </w:p>
        </w:tc>
        <w:tc>
          <w:tcPr>
            <w:tcW w:w="151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名称</w:t>
            </w:r>
          </w:p>
        </w:tc>
        <w:tc>
          <w:tcPr>
            <w:tcW w:w="70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规划类型</w:t>
            </w:r>
          </w:p>
        </w:tc>
        <w:tc>
          <w:tcPr>
            <w:tcW w:w="433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主要建设内容</w:t>
            </w:r>
          </w:p>
        </w:tc>
        <w:tc>
          <w:tcPr>
            <w:tcW w:w="129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1</w:t>
            </w:r>
          </w:p>
        </w:tc>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荥经县商贸集聚区建设项目</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打造以财富中心、尚品国际、鸿林新城、德能新城等点位为核心的商贸集聚区。</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w:t>
            </w:r>
          </w:p>
        </w:tc>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荥经县商贸会展中心建设项目</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拟在城区范围内选址建设集会议、产品展销、物资交流、商贸购物等功能为一体的会展中心，打造对外贸易窗口和平台，通过项目建设集聚商家、人气，形成商贸圈。</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3</w:t>
            </w:r>
          </w:p>
        </w:tc>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荥经县商业步行街建设</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cs="Times New Roman"/>
                <w:sz w:val="21"/>
                <w:szCs w:val="21"/>
              </w:rPr>
            </w:pPr>
            <w:r>
              <w:rPr>
                <w:rFonts w:cs="Times New Roman"/>
                <w:sz w:val="21"/>
                <w:szCs w:val="21"/>
                <w:lang w:bidi="ar"/>
              </w:rPr>
              <w:t>拟对鸿林小区商业步行街进行全面改造提升，提升我县城区基础设施品质，形成商业集群。</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bookmarkStart w:id="112" w:name="_Toc25554"/>
      <w:bookmarkStart w:id="113" w:name="_Toc10860"/>
      <w:bookmarkStart w:id="114" w:name="_Toc8813"/>
      <w:r>
        <w:rPr>
          <w:rFonts w:hint="eastAsia" w:ascii="仿宋_GB2312" w:hAnsi="仿宋_GB2312" w:eastAsia="仿宋_GB2312" w:cs="仿宋_GB2312"/>
          <w:lang w:val="en-US" w:eastAsia="zh-CN"/>
        </w:rPr>
        <w:t>3.</w:t>
      </w:r>
      <w:r>
        <w:rPr>
          <w:rFonts w:hint="eastAsia" w:ascii="仿宋_GB2312" w:hAnsi="仿宋_GB2312" w:eastAsia="仿宋_GB2312" w:cs="仿宋_GB2312"/>
        </w:rPr>
        <w:t>现代物流</w:t>
      </w:r>
      <w:bookmarkEnd w:id="112"/>
      <w:bookmarkEnd w:id="113"/>
      <w:bookmarkEnd w:id="114"/>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目标定位</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力争到2025年，将荥经打造成雅安建设进藏物资集散地的重要节点，建成功能完善、辐射广泛的现代物流体系，货运量达到1500万吨，培育规上限上物流企业10家。</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重点任务</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bCs/>
          <w:color w:val="000000"/>
          <w:szCs w:val="32"/>
        </w:rPr>
      </w:pPr>
      <w:r>
        <w:rPr>
          <w:rFonts w:hint="eastAsia" w:ascii="仿宋_GB2312" w:hAnsi="仿宋_GB2312" w:eastAsia="仿宋_GB2312" w:cs="仿宋_GB2312"/>
          <w:b/>
          <w:bCs/>
        </w:rPr>
        <w:t>加快物流重要节点建设，打造向西向南开放的桥头堡。</w:t>
      </w:r>
      <w:r>
        <w:rPr>
          <w:rFonts w:hint="eastAsia" w:ascii="仿宋_GB2312" w:hAnsi="仿宋_GB2312" w:eastAsia="仿宋_GB2312" w:cs="仿宋_GB2312"/>
        </w:rPr>
        <w:t>发挥荥经县区位交通比较优势，积极融入成渝地区双城经济圈的建设和西部大开发战略的推进，借力川藏铁路建设机遇，把荥经打造成为成渝地区向西向南开放的桥头堡。加快荥经现代商贸物流园区建设。充分考虑荥经现有产业资源和发展情况，切实将县城区域内汽修汽贸、建材、五金配件等行业有序引导进入物流园，打造集汽车销售+汽配汽修+建材为一体的荥经现代商贸物流园区。切实提升物流园区的水平，抢抓川藏铁路建设机遇，主动承接疏解成渝西向物流集散功能，积极为川藏铁路建设提供有力保障。要加强物流园区招商工作，通过市场方式引进投资主体，有效缓解政府前期建设的资金压力，并确保实现物流园建成后长效管理运营。打造荥经网络物流高地。抓住荥经政策</w:t>
      </w:r>
      <w:r>
        <w:rPr>
          <w:rFonts w:hint="eastAsia" w:ascii="仿宋_GB2312" w:hAnsi="仿宋_GB2312" w:eastAsia="仿宋_GB2312" w:cs="仿宋_GB2312"/>
          <w:szCs w:val="32"/>
        </w:rPr>
        <w:t>优势，依托荥经现代商贸物流园，建设网络物流平台，对外连接川藏物流园和雅安无水港，对内规划建设川西新型建材物流中心、农村物流站点和配送体系，形成覆盖城乡的物流网。</w:t>
      </w:r>
      <w:r>
        <w:rPr>
          <w:rFonts w:hint="eastAsia" w:ascii="仿宋_GB2312" w:hAnsi="仿宋_GB2312" w:eastAsia="仿宋_GB2312" w:cs="仿宋_GB2312"/>
        </w:rPr>
        <w:t>加强与周边重要物流节点的互联互通。一方面，主动融入川</w:t>
      </w:r>
      <w:r>
        <w:rPr>
          <w:rFonts w:hint="eastAsia" w:ascii="仿宋_GB2312" w:hAnsi="仿宋_GB2312" w:eastAsia="仿宋_GB2312" w:cs="仿宋_GB2312"/>
          <w:color w:val="000000"/>
          <w:szCs w:val="32"/>
        </w:rPr>
        <w:t>藏铁路建设，</w:t>
      </w:r>
      <w:r>
        <w:rPr>
          <w:rFonts w:hint="eastAsia" w:ascii="仿宋_GB2312" w:hAnsi="仿宋_GB2312" w:eastAsia="仿宋_GB2312" w:cs="仿宋_GB2312"/>
          <w:bCs/>
          <w:color w:val="000000"/>
          <w:szCs w:val="32"/>
        </w:rPr>
        <w:t>加快推动与天全县共建川藏物流产业园，主动连接丝绸之路，并与天全县错位协同发展，瞄准“一带一路”沿线国及市场贸易需求，</w:t>
      </w:r>
      <w:r>
        <w:rPr>
          <w:rFonts w:hint="eastAsia" w:ascii="仿宋_GB2312" w:hAnsi="仿宋_GB2312" w:eastAsia="仿宋_GB2312" w:cs="仿宋_GB2312"/>
          <w:color w:val="000000"/>
          <w:szCs w:val="32"/>
        </w:rPr>
        <w:t>引领开放型经济升级。同时</w:t>
      </w:r>
      <w:r>
        <w:rPr>
          <w:rFonts w:hint="eastAsia" w:ascii="仿宋_GB2312" w:hAnsi="仿宋_GB2312" w:eastAsia="仿宋_GB2312" w:cs="仿宋_GB2312"/>
          <w:bCs/>
          <w:color w:val="000000"/>
          <w:szCs w:val="32"/>
          <w:lang w:val="en"/>
        </w:rPr>
        <w:t>协同推进成雅大港区建设，助推大港区链接广域资源、融入全球经济大循环</w:t>
      </w:r>
      <w:r>
        <w:rPr>
          <w:rFonts w:hint="eastAsia" w:ascii="仿宋_GB2312" w:hAnsi="仿宋_GB2312" w:eastAsia="仿宋_GB2312" w:cs="仿宋_GB2312"/>
          <w:bCs/>
          <w:color w:val="000000"/>
          <w:szCs w:val="32"/>
        </w:rPr>
        <w:t>。另一方面，</w:t>
      </w:r>
      <w:r>
        <w:rPr>
          <w:rFonts w:hint="eastAsia" w:ascii="仿宋_GB2312" w:hAnsi="仿宋_GB2312" w:eastAsia="仿宋_GB2312" w:cs="仿宋_GB2312"/>
          <w:szCs w:val="32"/>
        </w:rPr>
        <w:t>加强雅安物流园、川藏物流（旅游）产业园、川滇藏战略物流中心等物流园区的互联互通，打造成渝链接川西北攀西和滇藏地区的物流中转站。</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b/>
          <w:bCs/>
          <w:szCs w:val="32"/>
        </w:rPr>
        <w:t>构建内联外畅交通体系，打造四通八达物流通道布局</w:t>
      </w:r>
      <w:r>
        <w:rPr>
          <w:rFonts w:hint="eastAsia" w:ascii="仿宋_GB2312" w:hAnsi="仿宋_GB2312" w:eastAsia="仿宋_GB2312" w:cs="仿宋_GB2312"/>
          <w:szCs w:val="32"/>
        </w:rPr>
        <w:t>。积极构建联通海内外，联系成渝地区、关联周边区域的海陆空新通道，增强物流通达能力。构建国际开放大通道。积极融入成都-雅安-云南-缅甸的南向陆海通道、成都（重庆）-雅安-西藏-印度的南向陆海通道，通过成昆铁路、川西南向铁路（规划）、雅安铁路（规划）、川藏铁路4条铁路和G5高速和川藏高速2条高速加强荥经与海外的经济联系，加强荥峨高速与乐山港之间的联系，构建荥经通江达海的陆海新通道。构建成渝地区开放通道。依托川藏铁路、老成昆铁路、成昆客专（规划）、雅眉乐自隆四条铁路和成雅高速、天雅高速、成雅快速通道、荥峨高速，积极融入成都都市圈、川南经济区、攀西经济区、川西北生态区，加强和重庆之间的经济联系。构建周边区域合作通道。</w:t>
      </w:r>
      <w:r>
        <w:rPr>
          <w:rFonts w:hint="eastAsia" w:ascii="仿宋_GB2312" w:hAnsi="仿宋_GB2312" w:eastAsia="仿宋_GB2312" w:cs="仿宋_GB2312"/>
          <w:bCs/>
          <w:szCs w:val="32"/>
        </w:rPr>
        <w:t>东向</w:t>
      </w:r>
      <w:r>
        <w:rPr>
          <w:rFonts w:hint="eastAsia" w:ascii="仿宋_GB2312" w:hAnsi="仿宋_GB2312" w:eastAsia="仿宋_GB2312" w:cs="仿宋_GB2312"/>
          <w:szCs w:val="32"/>
        </w:rPr>
        <w:t>重点建设与成都1小时经济圈节点城市之间的联系通道，加强与成都经济区和川南经济区的联系；</w:t>
      </w:r>
      <w:r>
        <w:rPr>
          <w:rFonts w:hint="eastAsia" w:ascii="仿宋_GB2312" w:hAnsi="仿宋_GB2312" w:eastAsia="仿宋_GB2312" w:cs="仿宋_GB2312"/>
          <w:bCs/>
          <w:szCs w:val="32"/>
        </w:rPr>
        <w:t>南向重点建设荥经与汉源和洪雅之间的运输通道，并通过相关路网联系雅安南部，加强与攀西经济区的合作发展和交流；西向重点加强与泸定县和天全县的联系通道，通过与相关路网联系，促进与川西北经济区的发展；北向重点解决荥经与天全县的联系，通过相关路网联系，实现与丝绸之路的连接。</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szCs w:val="32"/>
        </w:rPr>
        <w:t>建立健全物流功能体系，加强与生产生活的融合发展</w:t>
      </w:r>
      <w:r>
        <w:rPr>
          <w:rFonts w:hint="eastAsia" w:ascii="仿宋_GB2312" w:hAnsi="仿宋_GB2312" w:eastAsia="仿宋_GB2312" w:cs="仿宋_GB2312"/>
          <w:szCs w:val="32"/>
        </w:rPr>
        <w:t>。围绕荥经县“4+4”现代农业体系、“1+3”现代工业体系以及人民生活需要，大力发展制造业物流、冷链物流、快递物流。制造业物流。围绕新型建材、特种合金、煤炭、林竹深加工四大产业，在装配式建筑和玄武岩纤维产业园区、石材产业园区、微晶玻璃产业园区三大园区配套相应的物流功能，满足荥经制造业物流需求。冷链物流。围绕荥经猕猴桃、生态竹林果蔬、荥经长毛兔、荥经黄牛对储藏、加工、生鲜配送的需求，鼓励连锁经营企业、大型批发企业和冷链物流企业利用自有设施提供社会化的冷链物流服务，鼓励使用专业化、轻量化的冷藏运输车辆。快递物流。围绕人民生活需求和电子商务物流的需求，推进建设辐射全县</w:t>
      </w:r>
      <w:r>
        <w:rPr>
          <w:rFonts w:hint="eastAsia" w:ascii="仿宋_GB2312" w:hAnsi="仿宋_GB2312" w:eastAsia="仿宋_GB2312" w:cs="仿宋_GB2312"/>
        </w:rPr>
        <w:t>的快递分拨中心、快递分拨仓，实施统一核算、统一派送，鼓励整合利用城乡商业网点、邮政网点、社区服务机构等设施资源，推进快递网点城乡全覆盖。</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推动建设“司机之家”，吸引外来人流物流汇集。</w:t>
      </w:r>
      <w:r>
        <w:rPr>
          <w:rFonts w:hint="eastAsia" w:ascii="仿宋_GB2312" w:hAnsi="仿宋_GB2312" w:eastAsia="仿宋_GB2312" w:cs="仿宋_GB2312"/>
        </w:rPr>
        <w:t>积极响应交通运输部要求，按照《全国“司机之家”等级划分与评定标准（实行）》制定的标准，聚焦货车司机运输途中吃饭、喝水、休息、洗衣、淋浴等基本生活需求，高标准建设功能实用、经济实惠、服务便捷的AA</w:t>
      </w:r>
      <w:r>
        <w:rPr>
          <w:rFonts w:hint="eastAsia" w:ascii="仿宋_GB2312" w:hAnsi="仿宋_GB2312" w:eastAsia="仿宋_GB2312" w:cs="仿宋_GB2312"/>
          <w:color w:val="000000" w:themeColor="text1"/>
          <w14:textFill>
            <w14:solidFill>
              <w14:schemeClr w14:val="tx1"/>
            </w14:solidFill>
          </w14:textFill>
        </w:rPr>
        <w:t>AAA、AAAA、</w:t>
      </w:r>
      <w:r>
        <w:rPr>
          <w:rFonts w:hint="eastAsia" w:ascii="仿宋_GB2312" w:hAnsi="仿宋_GB2312" w:eastAsia="仿宋_GB2312" w:cs="仿宋_GB2312"/>
          <w:color w:val="000000"/>
        </w:rPr>
        <w:t>A</w:t>
      </w:r>
      <w:r>
        <w:rPr>
          <w:rFonts w:hint="eastAsia" w:ascii="仿宋_GB2312" w:hAnsi="仿宋_GB2312" w:eastAsia="仿宋_GB2312" w:cs="仿宋_GB2312"/>
        </w:rPr>
        <w:t>AA级“司机之家”，提供餐饮、休息、住宿、停车安保、宣传教育等服务功能，主要布局在G108国道、高速服务区、荥经现代商贸物流园区，在实现人流车流汇集，留下消费的同时，助力西南物流大通道建设。</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加强引进培育物流企业，增强荥经物流产业发展动力。</w:t>
      </w:r>
      <w:r>
        <w:rPr>
          <w:rFonts w:hint="eastAsia" w:ascii="仿宋_GB2312" w:hAnsi="仿宋_GB2312" w:eastAsia="仿宋_GB2312" w:cs="仿宋_GB2312"/>
        </w:rPr>
        <w:t>加强对本地现有物流企业的培育提升，支持传统运输企业、仓储经营企业加快转型升级，提升信用等级、服务质量、公司管理水平以及物流服务能力，</w:t>
      </w:r>
      <w:r>
        <w:rPr>
          <w:rFonts w:hint="eastAsia" w:ascii="仿宋_GB2312" w:hAnsi="仿宋_GB2312" w:eastAsia="仿宋_GB2312" w:cs="仿宋_GB2312"/>
          <w:szCs w:val="32"/>
        </w:rPr>
        <w:t>重点培育以“经河物流”、物流运输管理服务公司等为代表的企业入规上限</w:t>
      </w:r>
      <w:r>
        <w:rPr>
          <w:rFonts w:hint="eastAsia" w:ascii="仿宋_GB2312" w:hAnsi="仿宋_GB2312" w:eastAsia="仿宋_GB2312" w:cs="仿宋_GB2312"/>
        </w:rPr>
        <w:t>。重视物流企业招商，创新招商模式，加强招商资源整合优化，引进具有市场竞争力的第三方、第四方及国内外知名物流企业。鼓励物流企业进行各种形式的资产重组和企业联合与合作，形成一批规模大，实力强的物流企业。支持物流管理企业发展，整合物流产业链上下游和交通运输资源，</w:t>
      </w:r>
      <w:r>
        <w:rPr>
          <w:rFonts w:hint="eastAsia" w:ascii="仿宋_GB2312" w:hAnsi="仿宋_GB2312" w:eastAsia="仿宋_GB2312" w:cs="仿宋_GB2312"/>
          <w:szCs w:val="32"/>
        </w:rPr>
        <w:t>组建1家物流运输管理服务公司，并推动建立</w:t>
      </w:r>
      <w:r>
        <w:rPr>
          <w:rFonts w:hint="eastAsia" w:ascii="仿宋_GB2312" w:hAnsi="仿宋_GB2312" w:eastAsia="仿宋_GB2312" w:cs="仿宋_GB2312"/>
        </w:rPr>
        <w:t>物流信息管理系统，运用先进的仓储管理、运输管理、货物分拨、电子订货等信息系统软件社射频识别等技术，提高物流管理信息化水平。</w:t>
      </w:r>
      <w:r>
        <w:rPr>
          <w:rFonts w:hint="eastAsia" w:ascii="仿宋_GB2312" w:hAnsi="仿宋_GB2312" w:eastAsia="仿宋_GB2312" w:cs="仿宋_GB2312"/>
          <w:szCs w:val="32"/>
        </w:rPr>
        <w:t>鼓励企业引进掌握现代物流专业知识的复合型人才，并积极开展在职培训，提高物流企业的专业水平。</w:t>
      </w:r>
      <w:r>
        <w:rPr>
          <w:rFonts w:hint="eastAsia" w:ascii="仿宋_GB2312" w:hAnsi="仿宋_GB2312" w:eastAsia="仿宋_GB2312" w:cs="仿宋_GB2312"/>
        </w:rPr>
        <w:t>支持物流企业加入全国供应链与物流管理协会，获得协会在研发、设计、采购、生产、销售、物流等方面的资源共享。</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w:t>
      </w:r>
      <w:r>
        <w:rPr>
          <w:rFonts w:hint="eastAsia" w:ascii="仿宋_GB2312" w:hAnsi="仿宋_GB2312" w:eastAsia="仿宋_GB2312" w:cs="仿宋_GB2312"/>
        </w:rPr>
        <w:t>重点项目</w:t>
      </w:r>
    </w:p>
    <w:tbl>
      <w:tblPr>
        <w:tblStyle w:val="20"/>
        <w:tblpPr w:leftFromText="180" w:rightFromText="180" w:vertAnchor="text" w:horzAnchor="page" w:tblpXSpec="center" w:tblpY="306"/>
        <w:tblOverlap w:val="never"/>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80"/>
        <w:gridCol w:w="709"/>
        <w:gridCol w:w="468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29" w:type="dxa"/>
            <w:shd w:val="clear" w:color="auto" w:fill="CFCECE" w:themeFill="background2" w:themeFillShade="E5"/>
            <w:vAlign w:val="center"/>
          </w:tcPr>
          <w:p>
            <w:pPr>
              <w:widowControl/>
              <w:spacing w:line="240" w:lineRule="auto"/>
              <w:ind w:firstLine="0" w:firstLineChars="0"/>
              <w:jc w:val="center"/>
              <w:rPr>
                <w:rFonts w:eastAsia="黑体" w:cs="Times New Roman"/>
                <w:b/>
                <w:bCs/>
                <w:kern w:val="0"/>
                <w:sz w:val="21"/>
                <w:szCs w:val="20"/>
                <w:lang w:bidi="ar"/>
              </w:rPr>
            </w:pPr>
            <w:r>
              <w:rPr>
                <w:rFonts w:eastAsia="黑体" w:cs="Times New Roman"/>
                <w:b/>
                <w:bCs/>
                <w:kern w:val="0"/>
                <w:sz w:val="21"/>
                <w:szCs w:val="20"/>
                <w:lang w:bidi="ar"/>
              </w:rPr>
              <w:t>序号</w:t>
            </w:r>
          </w:p>
        </w:tc>
        <w:tc>
          <w:tcPr>
            <w:tcW w:w="1380" w:type="dxa"/>
            <w:shd w:val="clear" w:color="auto" w:fill="CFCECE" w:themeFill="background2" w:themeFillShade="E5"/>
            <w:vAlign w:val="center"/>
          </w:tcPr>
          <w:p>
            <w:pPr>
              <w:spacing w:line="240" w:lineRule="auto"/>
              <w:ind w:firstLine="0" w:firstLineChars="0"/>
              <w:jc w:val="center"/>
              <w:rPr>
                <w:rFonts w:eastAsia="黑体" w:cs="Times New Roman"/>
                <w:b/>
                <w:bCs/>
                <w:kern w:val="0"/>
                <w:sz w:val="21"/>
                <w:szCs w:val="20"/>
                <w:lang w:bidi="ar"/>
              </w:rPr>
            </w:pPr>
            <w:r>
              <w:rPr>
                <w:rFonts w:eastAsia="黑体" w:cs="Times New Roman"/>
                <w:b/>
                <w:bCs/>
                <w:kern w:val="0"/>
                <w:sz w:val="21"/>
                <w:szCs w:val="20"/>
                <w:lang w:bidi="ar"/>
              </w:rPr>
              <w:t>名称</w:t>
            </w:r>
          </w:p>
        </w:tc>
        <w:tc>
          <w:tcPr>
            <w:tcW w:w="709" w:type="dxa"/>
            <w:shd w:val="clear" w:color="auto" w:fill="CFCECE" w:themeFill="background2" w:themeFillShade="E5"/>
            <w:vAlign w:val="center"/>
          </w:tcPr>
          <w:p>
            <w:pPr>
              <w:spacing w:line="240" w:lineRule="auto"/>
              <w:ind w:firstLine="0" w:firstLineChars="0"/>
              <w:jc w:val="center"/>
              <w:rPr>
                <w:rFonts w:eastAsia="黑体" w:cs="Times New Roman"/>
                <w:b/>
                <w:bCs/>
                <w:kern w:val="0"/>
                <w:sz w:val="21"/>
                <w:szCs w:val="20"/>
                <w:lang w:bidi="ar"/>
              </w:rPr>
            </w:pPr>
            <w:r>
              <w:rPr>
                <w:rFonts w:eastAsia="黑体" w:cs="Times New Roman"/>
                <w:b/>
                <w:bCs/>
                <w:kern w:val="0"/>
                <w:sz w:val="21"/>
                <w:szCs w:val="20"/>
                <w:lang w:bidi="ar"/>
              </w:rPr>
              <w:t>规划类型</w:t>
            </w:r>
          </w:p>
        </w:tc>
        <w:tc>
          <w:tcPr>
            <w:tcW w:w="4682" w:type="dxa"/>
            <w:shd w:val="clear" w:color="auto" w:fill="CFCECE" w:themeFill="background2" w:themeFillShade="E5"/>
            <w:vAlign w:val="center"/>
          </w:tcPr>
          <w:p>
            <w:pPr>
              <w:spacing w:line="240" w:lineRule="auto"/>
              <w:ind w:firstLine="0" w:firstLineChars="0"/>
              <w:jc w:val="center"/>
              <w:rPr>
                <w:rFonts w:eastAsia="黑体" w:cs="Times New Roman"/>
                <w:b/>
                <w:bCs/>
                <w:kern w:val="0"/>
                <w:sz w:val="21"/>
                <w:szCs w:val="20"/>
                <w:lang w:bidi="ar"/>
              </w:rPr>
            </w:pPr>
            <w:r>
              <w:rPr>
                <w:rFonts w:eastAsia="黑体" w:cs="Times New Roman"/>
                <w:b/>
                <w:bCs/>
                <w:kern w:val="0"/>
                <w:sz w:val="21"/>
                <w:szCs w:val="20"/>
                <w:lang w:bidi="ar"/>
              </w:rPr>
              <w:t>主要建设内容</w:t>
            </w:r>
          </w:p>
        </w:tc>
        <w:tc>
          <w:tcPr>
            <w:tcW w:w="1219" w:type="dxa"/>
            <w:shd w:val="clear" w:color="auto" w:fill="CFCECE" w:themeFill="background2" w:themeFillShade="E5"/>
            <w:vAlign w:val="center"/>
          </w:tcPr>
          <w:p>
            <w:pPr>
              <w:spacing w:line="240" w:lineRule="auto"/>
              <w:ind w:firstLine="0" w:firstLineChars="0"/>
              <w:jc w:val="center"/>
              <w:rPr>
                <w:rFonts w:eastAsia="黑体" w:cs="Times New Roman"/>
                <w:b/>
                <w:bCs/>
                <w:kern w:val="0"/>
                <w:sz w:val="21"/>
                <w:szCs w:val="20"/>
                <w:lang w:bidi="ar"/>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荥经现代商贸物流园区建设项目</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项目拟投资6.5亿元新建集仓储物流、汽车销售、粮油储备等为一体的现代商贸物流园区。</w:t>
            </w:r>
          </w:p>
        </w:tc>
        <w:tc>
          <w:tcPr>
            <w:tcW w:w="1219"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shd w:val="clear" w:color="auto" w:fill="C8C8C8" w:themeFill="accent3" w:themeFillTint="99"/>
            <w:vAlign w:val="center"/>
          </w:tcPr>
          <w:p>
            <w:pPr>
              <w:widowControl/>
              <w:spacing w:line="240" w:lineRule="auto"/>
              <w:ind w:firstLine="0" w:firstLineChars="0"/>
              <w:jc w:val="center"/>
              <w:rPr>
                <w:rFonts w:cs="Times New Roman"/>
                <w:sz w:val="21"/>
                <w:szCs w:val="21"/>
              </w:rPr>
            </w:pPr>
            <w:r>
              <w:rPr>
                <w:rFonts w:eastAsia="黑体" w:cs="Times New Roman"/>
                <w:b/>
                <w:bCs/>
                <w:kern w:val="0"/>
                <w:sz w:val="21"/>
                <w:szCs w:val="20"/>
                <w:lang w:bidi="ar"/>
              </w:rPr>
              <w:t>序号</w:t>
            </w:r>
          </w:p>
        </w:tc>
        <w:tc>
          <w:tcPr>
            <w:tcW w:w="1380" w:type="dxa"/>
            <w:shd w:val="clear" w:color="auto" w:fill="C8C8C8" w:themeFill="accent3" w:themeFillTint="99"/>
            <w:vAlign w:val="center"/>
          </w:tcPr>
          <w:p>
            <w:pPr>
              <w:spacing w:line="240" w:lineRule="auto"/>
              <w:ind w:firstLine="0" w:firstLineChars="0"/>
              <w:jc w:val="center"/>
              <w:rPr>
                <w:rFonts w:cs="Times New Roman"/>
                <w:sz w:val="21"/>
                <w:szCs w:val="21"/>
              </w:rPr>
            </w:pPr>
            <w:r>
              <w:rPr>
                <w:rFonts w:eastAsia="黑体" w:cs="Times New Roman"/>
                <w:b/>
                <w:bCs/>
                <w:kern w:val="0"/>
                <w:sz w:val="21"/>
                <w:szCs w:val="20"/>
                <w:lang w:bidi="ar"/>
              </w:rPr>
              <w:t>名称</w:t>
            </w:r>
          </w:p>
        </w:tc>
        <w:tc>
          <w:tcPr>
            <w:tcW w:w="709" w:type="dxa"/>
            <w:shd w:val="clear" w:color="auto" w:fill="C8C8C8" w:themeFill="accent3" w:themeFillTint="99"/>
            <w:vAlign w:val="center"/>
          </w:tcPr>
          <w:p>
            <w:pPr>
              <w:spacing w:line="240" w:lineRule="auto"/>
              <w:ind w:firstLine="0" w:firstLineChars="0"/>
              <w:jc w:val="center"/>
              <w:rPr>
                <w:rFonts w:cs="Times New Roman"/>
                <w:sz w:val="21"/>
                <w:szCs w:val="21"/>
              </w:rPr>
            </w:pPr>
            <w:r>
              <w:rPr>
                <w:rFonts w:eastAsia="黑体" w:cs="Times New Roman"/>
                <w:b/>
                <w:bCs/>
                <w:kern w:val="0"/>
                <w:sz w:val="21"/>
                <w:szCs w:val="20"/>
                <w:lang w:bidi="ar"/>
              </w:rPr>
              <w:t>规划类型</w:t>
            </w:r>
          </w:p>
        </w:tc>
        <w:tc>
          <w:tcPr>
            <w:tcW w:w="4682" w:type="dxa"/>
            <w:shd w:val="clear" w:color="auto" w:fill="C8C8C8" w:themeFill="accent3" w:themeFillTint="99"/>
            <w:vAlign w:val="center"/>
          </w:tcPr>
          <w:p>
            <w:pPr>
              <w:spacing w:line="240" w:lineRule="auto"/>
              <w:ind w:firstLine="0" w:firstLineChars="0"/>
              <w:jc w:val="center"/>
              <w:rPr>
                <w:rFonts w:cs="Times New Roman"/>
                <w:sz w:val="21"/>
                <w:szCs w:val="21"/>
              </w:rPr>
            </w:pPr>
            <w:r>
              <w:rPr>
                <w:rFonts w:eastAsia="黑体" w:cs="Times New Roman"/>
                <w:b/>
                <w:bCs/>
                <w:kern w:val="0"/>
                <w:sz w:val="21"/>
                <w:szCs w:val="20"/>
                <w:lang w:bidi="ar"/>
              </w:rPr>
              <w:t>主要建设内容</w:t>
            </w:r>
          </w:p>
        </w:tc>
        <w:tc>
          <w:tcPr>
            <w:tcW w:w="1219" w:type="dxa"/>
            <w:shd w:val="clear" w:color="auto" w:fill="C8C8C8" w:themeFill="accent3" w:themeFillTint="99"/>
            <w:vAlign w:val="center"/>
          </w:tcPr>
          <w:p>
            <w:pPr>
              <w:spacing w:line="240" w:lineRule="auto"/>
              <w:ind w:firstLine="0" w:firstLineChars="0"/>
              <w:jc w:val="center"/>
              <w:rPr>
                <w:rFonts w:cs="Times New Roman"/>
                <w:sz w:val="21"/>
                <w:szCs w:val="21"/>
                <w:lang w:bidi="ar"/>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荥经县城乡物流配送体系建设</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深化县域物流一张网建设，完善提升县域物流体系。</w:t>
            </w:r>
          </w:p>
        </w:tc>
        <w:tc>
          <w:tcPr>
            <w:tcW w:w="1219"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3</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荥经县无水港建设项目</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新建集仓储中心、综合楼及配套附属设施为一体的综合性港口，建立我县对外贸易窗口，积极融入成都自贸区建设。</w:t>
            </w:r>
          </w:p>
        </w:tc>
        <w:tc>
          <w:tcPr>
            <w:tcW w:w="1219" w:type="dxa"/>
            <w:vAlign w:val="center"/>
          </w:tcPr>
          <w:p>
            <w:pPr>
              <w:spacing w:line="240" w:lineRule="auto"/>
              <w:ind w:firstLine="0" w:firstLineChars="0"/>
              <w:jc w:val="center"/>
              <w:rPr>
                <w:rFonts w:cs="Times New Roman"/>
                <w:sz w:val="21"/>
                <w:szCs w:val="21"/>
              </w:rPr>
            </w:pPr>
            <w:r>
              <w:rPr>
                <w:rFonts w:cs="Times New Roman"/>
                <w:sz w:val="21"/>
                <w:szCs w:val="21"/>
                <w:lang w:bidi="ar"/>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4</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荥经县农产品加工园区及冷链物流建设项目</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以一民农业有限公司为依托，新建、扩建中药材、果蔬、竹笋加工生产线及冷链物流园区，配套相关设施设备。</w:t>
            </w:r>
          </w:p>
        </w:tc>
        <w:tc>
          <w:tcPr>
            <w:tcW w:w="1219"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5</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荥经县智慧+茶仓储物流及互联网销售建设项目</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建智慧化藏茶仓储物流中心，配套相关设施设备，建高山云雾茶数字交易平台、产品质量追溯平台、智慧化茶园管护平台等。</w:t>
            </w:r>
          </w:p>
        </w:tc>
        <w:tc>
          <w:tcPr>
            <w:tcW w:w="1219"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6</w:t>
            </w:r>
          </w:p>
        </w:tc>
        <w:tc>
          <w:tcPr>
            <w:tcW w:w="1380" w:type="dxa"/>
            <w:vAlign w:val="center"/>
          </w:tcPr>
          <w:p>
            <w:pPr>
              <w:spacing w:line="240" w:lineRule="auto"/>
              <w:ind w:firstLine="0" w:firstLineChars="0"/>
              <w:jc w:val="center"/>
              <w:rPr>
                <w:rFonts w:cs="Times New Roman"/>
                <w:sz w:val="21"/>
                <w:szCs w:val="21"/>
              </w:rPr>
            </w:pPr>
            <w:r>
              <w:rPr>
                <w:rFonts w:cs="Times New Roman"/>
                <w:sz w:val="21"/>
                <w:szCs w:val="21"/>
              </w:rPr>
              <w:t>“司机之家”建设项目</w:t>
            </w:r>
          </w:p>
        </w:tc>
        <w:tc>
          <w:tcPr>
            <w:tcW w:w="709"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682" w:type="dxa"/>
            <w:vAlign w:val="center"/>
          </w:tcPr>
          <w:p>
            <w:pPr>
              <w:spacing w:line="240" w:lineRule="auto"/>
              <w:ind w:firstLine="0" w:firstLineChars="0"/>
              <w:rPr>
                <w:rFonts w:cs="Times New Roman"/>
                <w:sz w:val="21"/>
                <w:szCs w:val="21"/>
              </w:rPr>
            </w:pPr>
            <w:r>
              <w:rPr>
                <w:rFonts w:cs="Times New Roman"/>
                <w:sz w:val="21"/>
                <w:szCs w:val="21"/>
              </w:rPr>
              <w:t>聚焦货车司机运输途中吃饭、喝水、休息、洗衣、淋浴等基本生活需求，建设功能实用、经济实惠、服务便捷的“司机之家”，提供餐饮、休息、住宿、停车安保、宣传教育等服务功能，主要布局在108国道、高速服务区、荥经现代商贸物流园区。</w:t>
            </w:r>
          </w:p>
        </w:tc>
        <w:tc>
          <w:tcPr>
            <w:tcW w:w="121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bl>
    <w:p>
      <w:pPr>
        <w:pStyle w:val="41"/>
        <w:numPr>
          <w:ilvl w:val="0"/>
          <w:numId w:val="0"/>
        </w:numPr>
        <w:ind w:leftChars="0"/>
        <w:jc w:val="center"/>
        <w:rPr>
          <w:rFonts w:cs="Times New Roman"/>
        </w:rPr>
      </w:pPr>
      <w:r>
        <w:rPr>
          <w:rFonts w:hint="eastAsia" w:cs="Times New Roman"/>
          <w:lang w:val="en-US" w:eastAsia="zh-CN"/>
        </w:rPr>
        <w:t xml:space="preserve">表5  </w:t>
      </w:r>
      <w:r>
        <w:rPr>
          <w:rFonts w:cs="Times New Roman"/>
        </w:rPr>
        <w:t>荥经县“十四五”现代物流业重点项目表</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cs="Times New Roman"/>
        </w:rPr>
      </w:pPr>
      <w:bookmarkStart w:id="115" w:name="_Toc2128"/>
      <w:bookmarkStart w:id="116" w:name="_Toc13110"/>
      <w:bookmarkStart w:id="117" w:name="_Toc7481"/>
      <w:r>
        <w:rPr>
          <w:rFonts w:hint="eastAsia" w:cs="Times New Roman"/>
          <w:lang w:eastAsia="zh-CN"/>
        </w:rPr>
        <w:t>（</w:t>
      </w:r>
      <w:r>
        <w:rPr>
          <w:rFonts w:hint="eastAsia" w:cs="Times New Roman"/>
          <w:lang w:val="en-US" w:eastAsia="zh-CN"/>
        </w:rPr>
        <w:t>二</w:t>
      </w:r>
      <w:r>
        <w:rPr>
          <w:rFonts w:hint="eastAsia" w:cs="Times New Roman"/>
          <w:lang w:eastAsia="zh-CN"/>
        </w:rPr>
        <w:t>）</w:t>
      </w:r>
      <w:r>
        <w:rPr>
          <w:rFonts w:cs="Times New Roman"/>
        </w:rPr>
        <w:t>加快发展三大成长型服务业</w:t>
      </w:r>
      <w:bookmarkEnd w:id="115"/>
      <w:bookmarkEnd w:id="116"/>
      <w:bookmarkEnd w:id="117"/>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18" w:name="_Toc19335"/>
      <w:r>
        <w:rPr>
          <w:rFonts w:hint="eastAsia" w:cs="Times New Roman"/>
          <w:lang w:val="en-US" w:eastAsia="zh-CN"/>
        </w:rPr>
        <w:t>1.</w:t>
      </w:r>
      <w:r>
        <w:rPr>
          <w:rFonts w:cs="Times New Roman"/>
        </w:rPr>
        <w:t>森林康养</w:t>
      </w:r>
      <w:bookmarkEnd w:id="118"/>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发展目标</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rPr>
        <w:t>围绕建设</w:t>
      </w:r>
      <w:r>
        <w:rPr>
          <w:rFonts w:cs="Times New Roman"/>
          <w:szCs w:val="32"/>
        </w:rPr>
        <w:t>成渝地区高品质森林康养度假基地，力争到2025年，实现荥经县国际森林康养度假目的地建设的重大突破，建成城乡均衡、规模领先、运营高效的康养服务体系，康养产业总规模突破30亿元，将荥经建设成为集生态观光、休闲度假、康体养生、文化休闲为一体,具有一定国际客源的综合性康养度假旅游目的地。</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重点任务</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rPr>
      </w:pPr>
      <w:r>
        <w:rPr>
          <w:rFonts w:cs="Times New Roman"/>
          <w:b/>
          <w:bCs/>
        </w:rPr>
        <w:t>建设三大康养产业带，打造成渝地区高品质森林康养度假基地。</w:t>
      </w:r>
      <w:r>
        <w:rPr>
          <w:rFonts w:cs="Times New Roman"/>
        </w:rPr>
        <w:t>抢抓成渝地区双城经济圈建设机遇，依托成都1.5小时通勤圈，</w:t>
      </w:r>
      <w:r>
        <w:rPr>
          <w:rFonts w:cs="Times New Roman"/>
          <w:color w:val="000000"/>
        </w:rPr>
        <w:t>以争创天府旅游名县为引领，依托全国全域旅游示范区创建，扎实推进全</w:t>
      </w:r>
      <w:r>
        <w:rPr>
          <w:rFonts w:cs="Times New Roman"/>
          <w:szCs w:val="32"/>
        </w:rPr>
        <w:t>国森林康养建设试点县，发挥荥经康养资源比较优势，规划建设三大康养产业带，形成“龙苍沟疗养、云峰山养心、荥经县医养”的康养产业发展体系，将荥经打造成为成渝地区高品质森林康养度假基地。龙苍沟森林康养产业带</w:t>
      </w:r>
      <w:r>
        <w:rPr>
          <w:rFonts w:hint="eastAsia" w:cs="Times New Roman"/>
          <w:szCs w:val="32"/>
        </w:rPr>
        <w:t>。</w:t>
      </w:r>
      <w:r>
        <w:rPr>
          <w:rFonts w:cs="Times New Roman"/>
          <w:szCs w:val="32"/>
        </w:rPr>
        <w:t>依托大相岭大熊猫国家公园产业园的建设，</w:t>
      </w:r>
      <w:r>
        <w:rPr>
          <w:rFonts w:hint="eastAsia" w:cs="Times New Roman"/>
          <w:szCs w:val="32"/>
        </w:rPr>
        <w:t>重点发展森林沐浴、森林温泉疗养、森林养生、中医疗养、术后康养等特色森林康养服务</w:t>
      </w:r>
      <w:r>
        <w:rPr>
          <w:rFonts w:cs="Times New Roman"/>
          <w:szCs w:val="32"/>
        </w:rPr>
        <w:t>。重点推进龙苍沟</w:t>
      </w:r>
      <w:r>
        <w:rPr>
          <w:rFonts w:hint="eastAsia" w:cs="Times New Roman"/>
          <w:szCs w:val="32"/>
        </w:rPr>
        <w:t>国际</w:t>
      </w:r>
      <w:r>
        <w:rPr>
          <w:rFonts w:cs="Times New Roman"/>
          <w:szCs w:val="32"/>
        </w:rPr>
        <w:t>森林康养项目建设，推动抗衰老中心、术后康养中心、温泉颐养中心三大项目。云峰山养心康养产业带</w:t>
      </w:r>
      <w:r>
        <w:rPr>
          <w:rFonts w:hint="eastAsia" w:cs="Times New Roman"/>
          <w:szCs w:val="32"/>
        </w:rPr>
        <w:t>。</w:t>
      </w:r>
      <w:r>
        <w:rPr>
          <w:rFonts w:cs="Times New Roman"/>
          <w:szCs w:val="32"/>
        </w:rPr>
        <w:t>依托云峰山天府禅修谷产业园的建设，以养心为主题，重点发展高端人士静养、休闲、减压等康养服务，塑造养心形象，重点新建养心主题酒店，养老养生基地等项目。荥经城医养康养产业带</w:t>
      </w:r>
      <w:r>
        <w:rPr>
          <w:rFonts w:hint="eastAsia" w:cs="Times New Roman"/>
          <w:szCs w:val="32"/>
        </w:rPr>
        <w:t>。</w:t>
      </w:r>
      <w:r>
        <w:rPr>
          <w:rFonts w:cs="Times New Roman"/>
          <w:szCs w:val="32"/>
        </w:rPr>
        <w:t>以荥经县城为核心，依托城市功能和丰富的健康医疗资源，在保障基本养老健康服务的前提下，以医养为主题，</w:t>
      </w:r>
      <w:r>
        <w:rPr>
          <w:rFonts w:hint="eastAsia" w:cs="Times New Roman"/>
          <w:szCs w:val="32"/>
        </w:rPr>
        <w:t>重点发展医疗服务、品质型健康医疗、健康养老、健康膳食等康养服务</w:t>
      </w:r>
      <w:r>
        <w:rPr>
          <w:rFonts w:cs="Times New Roman"/>
          <w:szCs w:val="32"/>
        </w:rPr>
        <w:t>，重点推进荥经县人民医院、中医院、妇幼保健中心改造提升，大力引进建设医养机构，为荥经创建成渝地区小县优城助力。</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rPr>
      </w:pPr>
      <w:r>
        <w:rPr>
          <w:rFonts w:cs="Times New Roman"/>
          <w:b/>
          <w:bCs/>
        </w:rPr>
        <w:t>开展多元化森林康养发展模式，融合荥经特色优势资源。</w:t>
      </w:r>
      <w:r>
        <w:rPr>
          <w:rFonts w:cs="Times New Roman"/>
        </w:rPr>
        <w:t>发挥利用荥经森林资源、山地资源，中医药资源，将森林康养与运动、膳食、医疗相结合，探索多元发展模式</w:t>
      </w:r>
      <w:r>
        <w:rPr>
          <w:rFonts w:cs="Times New Roman"/>
          <w:szCs w:val="32"/>
        </w:rPr>
        <w:t>。“森林康养+运动”</w:t>
      </w:r>
      <w:r>
        <w:rPr>
          <w:rFonts w:hint="eastAsia" w:cs="Times New Roman"/>
          <w:szCs w:val="32"/>
        </w:rPr>
        <w:t>。</w:t>
      </w:r>
      <w:r>
        <w:rPr>
          <w:rFonts w:cs="Times New Roman"/>
          <w:szCs w:val="32"/>
        </w:rPr>
        <w:t>依托龙苍沟、牛背山生态环境优势，发展空气浴、雨中漫步、雨后散步、河谷漂流等森林、山地运动形式，打造龙苍沟-牛背山慢行系统徒步运动精品路线，打造牛背山山地运动精品路线，建设牛背山运动健康小镇，积极引进或组织国际化、专业化品牌赛事，引进国家、省、市级竞技体育训练基地，打造荥经运动康养特色品牌</w:t>
      </w:r>
      <w:r>
        <w:rPr>
          <w:rFonts w:hint="eastAsia" w:cs="Times New Roman"/>
          <w:szCs w:val="32"/>
        </w:rPr>
        <w:t>。</w:t>
      </w:r>
      <w:r>
        <w:rPr>
          <w:rFonts w:cs="Times New Roman"/>
          <w:szCs w:val="32"/>
        </w:rPr>
        <w:t>“森林康养+膳食”</w:t>
      </w:r>
      <w:r>
        <w:rPr>
          <w:rFonts w:hint="eastAsia" w:cs="Times New Roman"/>
          <w:szCs w:val="32"/>
        </w:rPr>
        <w:t>。</w:t>
      </w:r>
      <w:r>
        <w:rPr>
          <w:rFonts w:cs="Times New Roman"/>
          <w:szCs w:val="32"/>
        </w:rPr>
        <w:t>鼓励县中医院和各中心卫生院中医馆提供药膳</w:t>
      </w:r>
      <w:r>
        <w:rPr>
          <w:rFonts w:cs="Times New Roman"/>
          <w:color w:val="000000"/>
          <w:kern w:val="0"/>
          <w:szCs w:val="32"/>
        </w:rPr>
        <w:t>配方定制服务，将药膳食疗与康养机构、酒店餐饮、农家乐相结合，提升荥经县各类养老养生、休闲度假目的地的健康饮食服务质量。鼓励荥经县餐饮界积极利用方竹笋、蕨菜、茶叶、天麻等地方特色产品结合黑砂器具，开发药膳粥、养生汤、养生食疗、美食火锅等创意美食</w:t>
      </w:r>
      <w:r>
        <w:rPr>
          <w:rFonts w:hint="eastAsia" w:cs="Times New Roman"/>
          <w:szCs w:val="32"/>
        </w:rPr>
        <w:t>。</w:t>
      </w:r>
      <w:r>
        <w:rPr>
          <w:rFonts w:cs="Times New Roman"/>
          <w:szCs w:val="32"/>
        </w:rPr>
        <w:t>“森林康养+医疗”</w:t>
      </w:r>
      <w:r>
        <w:rPr>
          <w:rFonts w:hint="eastAsia" w:cs="Times New Roman"/>
          <w:szCs w:val="32"/>
        </w:rPr>
        <w:t>。</w:t>
      </w:r>
      <w:r>
        <w:rPr>
          <w:rFonts w:cs="Times New Roman"/>
          <w:szCs w:val="32"/>
        </w:rPr>
        <w:t>持续提升医疗卫生服务能力，积极推进医疗卫生与养老养生服务相结合，探索推进“医养融合”和“家庭-社区-医院”联运服务机制，满足多样化康养服务需求。大力发展术后康养服务，积极争取与华西医院、四川省人民医院等知名医院签订合作协议，利用龙苍沟优质的生态环境建立术后康复疗养中心，打造西部森林康养最佳地</w:t>
      </w:r>
      <w:r>
        <w:rPr>
          <w:rFonts w:hint="eastAsia" w:cs="Times New Roman"/>
          <w:szCs w:val="32"/>
        </w:rPr>
        <w:t>。</w:t>
      </w:r>
      <w:r>
        <w:rPr>
          <w:rFonts w:cs="Times New Roman"/>
          <w:szCs w:val="32"/>
        </w:rPr>
        <w:t>“森林康养+温泉”</w:t>
      </w:r>
      <w:r>
        <w:rPr>
          <w:rFonts w:hint="eastAsia" w:cs="Times New Roman"/>
          <w:szCs w:val="32"/>
        </w:rPr>
        <w:t>。</w:t>
      </w:r>
      <w:r>
        <w:rPr>
          <w:rFonts w:cs="Times New Roman"/>
        </w:rPr>
        <w:t>充分开发利用龙苍沟镇、宝峰彝族乡、牛背山镇的温泉资源，打造温泉康养小镇，重点打造龙苍沟熊猫温泉疗养基地，融入熊猫文化元素配套建设星级宾馆、商业步行街、高层公寓等，</w:t>
      </w:r>
      <w:r>
        <w:rPr>
          <w:rFonts w:cs="Times New Roman"/>
          <w:lang w:bidi="ar"/>
        </w:rPr>
        <w:t>建设生态康养旅游胜地、</w:t>
      </w:r>
      <w:r>
        <w:rPr>
          <w:rFonts w:cs="Times New Roman"/>
        </w:rPr>
        <w:t>高端森林养生之地，</w:t>
      </w:r>
      <w:r>
        <w:rPr>
          <w:rFonts w:cs="Times New Roman"/>
          <w:lang w:bidi="ar"/>
        </w:rPr>
        <w:t>打造生态环境优美的高尚人居生活示范区。</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rPr>
      </w:pPr>
      <w:r>
        <w:rPr>
          <w:rFonts w:cs="Times New Roman"/>
          <w:b/>
          <w:bCs/>
          <w:szCs w:val="32"/>
        </w:rPr>
        <w:t>加强森林康养产业配套服务，提升康养服务质量</w:t>
      </w:r>
      <w:r>
        <w:rPr>
          <w:rFonts w:cs="Times New Roman"/>
          <w:szCs w:val="32"/>
        </w:rPr>
        <w:t>。围绕三大康养产业带，加强交通设施建设，完善医疗养老设施建设，提升住宿接待能力和服务水平，完善商贸设施建设、强化信息化平台建设，加快便民惠民服务设施建设，完善康养监督管理机制，全面提升森林康养产业服务质量和水平。加强重点项目建设，进一步推进清风雅雨小镇、周坪熊猫民宿村、龙苍沟熊猫温泉疗养基地、叠翠溪景区康养旅游项目、云尚精品民宿酒店、無念·云峰山居等重点项目建设进度，逐步推进森林康养产业成型。</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1"/>
        <w:numPr>
          <w:ilvl w:val="0"/>
          <w:numId w:val="0"/>
        </w:numPr>
        <w:ind w:leftChars="0"/>
        <w:jc w:val="center"/>
        <w:rPr>
          <w:rFonts w:cs="Times New Roman"/>
        </w:rPr>
      </w:pPr>
      <w:r>
        <w:rPr>
          <w:rFonts w:hint="eastAsia" w:cs="Times New Roman"/>
          <w:lang w:val="en-US" w:eastAsia="zh-CN"/>
        </w:rPr>
        <w:t xml:space="preserve">表6  </w:t>
      </w:r>
      <w:r>
        <w:rPr>
          <w:rFonts w:cs="Times New Roman"/>
        </w:rPr>
        <w:t>荥经县“十四五”森林康养业重点项目表</w:t>
      </w:r>
    </w:p>
    <w:tbl>
      <w:tblPr>
        <w:tblStyle w:val="20"/>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102"/>
        <w:gridCol w:w="750"/>
        <w:gridCol w:w="4988"/>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7" w:type="dxa"/>
            <w:shd w:val="clear" w:color="auto" w:fill="CFCECE" w:themeFill="background2" w:themeFillShade="E5"/>
            <w:vAlign w:val="center"/>
          </w:tcPr>
          <w:p>
            <w:pPr>
              <w:widowControl/>
              <w:spacing w:line="240" w:lineRule="auto"/>
              <w:ind w:firstLine="0" w:firstLineChars="0"/>
              <w:jc w:val="center"/>
              <w:rPr>
                <w:rFonts w:eastAsia="黑体" w:cs="Times New Roman"/>
                <w:b/>
                <w:bCs/>
                <w:kern w:val="0"/>
                <w:sz w:val="21"/>
                <w:szCs w:val="21"/>
              </w:rPr>
            </w:pPr>
            <w:r>
              <w:rPr>
                <w:rFonts w:eastAsia="黑体" w:cs="Times New Roman"/>
                <w:b/>
                <w:bCs/>
                <w:sz w:val="21"/>
                <w:szCs w:val="21"/>
              </w:rPr>
              <w:t>序号</w:t>
            </w:r>
          </w:p>
        </w:tc>
        <w:tc>
          <w:tcPr>
            <w:tcW w:w="1102"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750"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4988"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337"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荥经县牛背山景区森林康养旅游项目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牛背山景区一期项目：山顶组团、给水提灌工程、云海人家至牛背山顶景区内部道路改扩建工程、大桥头至县界道路修缮工程；深水滩经阴阳界至牛背山顶客运索道：线路水平距离4530.93m，线路高差1121m，单向最大运输能力1500人/小时，吊厢容量8人，索道站房建筑面积7440㎡，总用地面积26607㎡；牛背山顶组团：山顶精品酒店、景区基础设施、环境提升等；四人同组团：滑雪场、基础旅服设施、精品帐篷营地、半山精品木屋营地等；深水滩组团：红石公园、鸟巢酒店、路虎体验场等；智慧景区系统：智慧化旅游景区系统建设。</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叠翠溪景区二期康养旅游项目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1：二期景区天生桥景点试运行，配备10台大型观光车，修建宣教中心至景区大门5公里道路，预计6月开始施工，9月完成施工；并请求县委县政府配合拓宽宣教中心至天生桥景区的已建道路。2：丛林飞越项目于2021年1月4日开始施工，预计在3月底完工调试，4月开始试营运；3：宁静谷二期酒店完成项目概念设计，施工图设计，园林景观设计等和报建手续，预计6月开始主体施工，12月完成主体施工。4：规划并建设新景区停车场，预计容纳大型客车100辆，小汽车900辆，计划用地45亩。预计2021年6月开工，2021年9月竣工。</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3</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荥经县龙苍沟发展村旅游度假区阳坪片区森林康养旅游项目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旅游商品展示区约14万平方米；游客接待中心、自驾车营地、演出中心、停车场、科教、文化等，总建筑面积约6万平方米及配套附属设施，2021年度建设计划为花湖景区及周边商业配套、索道建设、康养一期、康养二期建设等项目</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4</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荥经县龙苍沟熊猫温泉疗养基地项目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规划占地8万平方米，总建筑面积4.3万平方米，利用高山温泉，打造高端森林养身之地，配套建设温泉疗养基地、星级宾馆会所，建设生态度假旅游胜地。</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5</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荥经县云峰山康养度假项目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依托云峰山国家4A级旅游景区，打造集朝圣、观光、养生、度假为一体的旅游休闲目的地，塑造云峰山“养心”的旅游形象，项目估算总投资15亿元，建设内容主要包括：1、完善云峰山景区二、三期基础设施建设。2、新建集咨询、集散、休闲、购物、娱乐等于一体的云峰山游客服务中心和景区商贸购物区。3、新建主题酒店和康养度假区。</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2019-2025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6</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荥经县妇幼保健院迁建</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迁址新建荥经县妇幼保健院，新建业务用房8000平方米，配套相应环保、配电、绿化设施及相关医疗设备。</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7</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荥经县森林休闲、健康产业带建设</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80公里旅游带建设，建成特色分明的健康养生休闲度假基地80个，结合度假、休闲康复、养老的产业集成，建成是在民俗、观花、观鸟特色，结合山野风貌，人文风情，地方特产，把大熊猫谷、药王山、药王谷，观鸟湿地等地域特色明显的经济带，总投资78亿元。</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8</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荥经县医养中心建设（县医院迁建工程）</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规划占地面积97亩,迁建业务楼50000㎡，并配套相关的附属设施及相关的设备购置。项目分两期实施，第一期为县医院分院迁建工程，占地约15亩，迁建业务楼约12000㎡，配套医养、康养相结合的相关设施；第二期为县医院迁建工程，包括县医院整体迁建，占地约82亩，配套医养、康养相结合的相关附属设施及相关设备购置。</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9</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荥经县蝶恋花溪高端养生康复基地建设项目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占地1000亩，规划新建养生中心22.72万平方米，配套术后（运动）康复中心、森林疗愈中心、林中漫步绿道等康养设施，配套观光农业、田园综合体等农村文化体验项目，生态农场、中药材药膳等健康饮食服务，将项目打造成荥经县高端养生（康复）基地。</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牛背山森林医院</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项目位于牛背山镇建政村，拟采用日本模式建设，重点建设接待区、管理服务区、森林游憩区、疗养康复区、保健区五大区域，配置种植不同的树木，对气管炎、肺炎、肺结核等呼吸道疾病患者大有裨益。</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荥经县凤凰谷旅游康养项目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以凤凰村11组传统古村落和凤凰沟为核心，打造集旅游、康养为一体的，覆盖区域5平方千米以上的旅游康养中心，配套旅游道路、游客接待中心，康养中心等设施。</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龙苍沟抗衰老中心</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项目位于龙苍沟镇，建设抗衰老服务中心主体建筑，增添监护、医疗等相应设备，开展中医药抗衰老、绿色抗衰老、运动抗衰老等特色服务。</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荥经县悠然森林绿道康养旅游项目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以青龙镇境内林竹环线为依托，在沿线打造景观节点，发展特色民宿和康养服务产业。</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荥经县桂花村森林康养项目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依托桂花村森林覆盖率高，该处可俯瞰荥经全城的优势，打造集观光、生态种植、养殖体验、住宿、露营等项目为一体的休闲目的地。</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荥经县九龙溪旅游康养项目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修建接待能力1000人的康养服务中心、游客接待中心，打造以九龙神韵为核心的旅游景点，配套相关基础设施，新建旅游道路3000米。</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荥经县芦岗坪旅游康养项目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占地面积100亩，修建接待能力800人的康养服务中心、康养酒店。配套相关基础设施，新建标准旅游道路3500米。</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17</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附城乡烟溪沟村森林康养休闲度假建设项目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建设重点以活动项目为依托，按照国家的相关规定严格展开。内容包括森林科普教育中心、特种树木园、树木体验园、森林浴场、康养医院（康养中心）、森林康养（馆）中心、森林氧吧体验、森林休憩与娱乐场、森林步道、森林露营地、森林徒步、山地自行车运动、水上游乐项目、森林采摘园、森林餐厅（食疗）等活动项目。</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18</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五里山森林公园</w:t>
            </w:r>
            <w:r>
              <w:rPr>
                <w:rFonts w:cs="Times New Roman"/>
                <w:sz w:val="21"/>
                <w:szCs w:val="21"/>
              </w:rPr>
              <w:br w:type="textWrapping"/>
            </w:r>
            <w:r>
              <w:rPr>
                <w:rFonts w:cs="Times New Roman"/>
                <w:sz w:val="21"/>
                <w:szCs w:val="21"/>
              </w:rPr>
              <w:t>（五里山森林康养休憩度假公园）</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依托五里山特有的森林和水资源，以森林山地健康体验为主线，以康养民宿为核心，打造集森林观光，健康民宿，养生养老，农业体验，科考教育，拓展休闲等功能于一体的山地森林生态型健康养生休憩度假公园。</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19</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经河康疗养生保健中心</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项目位于龙苍沟镇经河村，占地面积15万平方米，建筑面积1.5万平方米，开发建设集疗养、垂钓、养老会所等于一体的康疗养生保健中心。</w:t>
            </w:r>
          </w:p>
        </w:tc>
        <w:tc>
          <w:tcPr>
            <w:tcW w:w="1337" w:type="dxa"/>
            <w:vAlign w:val="center"/>
          </w:tcPr>
          <w:p>
            <w:pPr>
              <w:spacing w:line="240" w:lineRule="auto"/>
              <w:ind w:firstLine="0" w:firstLineChars="0"/>
              <w:jc w:val="center"/>
              <w:rPr>
                <w:rFonts w:cs="Times New Roman"/>
                <w:sz w:val="21"/>
                <w:szCs w:val="21"/>
              </w:rPr>
            </w:pPr>
            <w:r>
              <w:rPr>
                <w:rFonts w:cs="Times New Roman"/>
                <w:sz w:val="21"/>
                <w:szCs w:val="21"/>
                <w:lang w:bidi="ar"/>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20</w:t>
            </w:r>
          </w:p>
        </w:tc>
        <w:tc>
          <w:tcPr>
            <w:tcW w:w="1102"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荥经县桌山国际森林康养度假产业园</w:t>
            </w:r>
          </w:p>
        </w:tc>
        <w:tc>
          <w:tcPr>
            <w:tcW w:w="750"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续建</w:t>
            </w:r>
          </w:p>
        </w:tc>
        <w:tc>
          <w:tcPr>
            <w:tcW w:w="4988"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总投资36亿元，布局项目23个,重点建设清风雅雨小镇和配套云上方舟景区，通过索道工程和小镇内部黑石公园、花湖公园的配套，带动康养房产开发40万平方米，度假商业开发16万平方米，业务运行用房5万平方米，打造中国桌山森林康养国际旅游度假区，预计2021年具备接待能力。</w:t>
            </w:r>
          </w:p>
        </w:tc>
        <w:tc>
          <w:tcPr>
            <w:tcW w:w="1337"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2019-2027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21</w:t>
            </w:r>
          </w:p>
        </w:tc>
        <w:tc>
          <w:tcPr>
            <w:tcW w:w="1102"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荥经县大小石坝野奢森林体验康养园</w:t>
            </w:r>
          </w:p>
        </w:tc>
        <w:tc>
          <w:tcPr>
            <w:tcW w:w="750"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988"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发展村大小石坝生态体验性度假区。该区域位于大熊猫国家公园边缘地带，生态环境优美，规划开发打造范围约1300余亩，根据旅游承载测算，点状供地约360亩建设用地，打造成为集康养、疗养、生态体验、森林研学的重要旅游目的地，需要下一步国土空间规划予以保障和考虑。</w:t>
            </w:r>
          </w:p>
        </w:tc>
        <w:tc>
          <w:tcPr>
            <w:tcW w:w="1337"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2021-2026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22</w:t>
            </w:r>
          </w:p>
        </w:tc>
        <w:tc>
          <w:tcPr>
            <w:tcW w:w="1102"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荥经县自然生态教育基地文旅产业园</w:t>
            </w:r>
          </w:p>
        </w:tc>
        <w:tc>
          <w:tcPr>
            <w:tcW w:w="750"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988"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依托龙苍沟原始森林和全省自然教育基地，在森林公园内建设以自然教育和研学旅游为主的森林文旅旅游产业园区。同时，围绕熊猫文化建设大熊猫疗养和仿驯场、熊猫医院、科研机构等配套设施，打造一个国际性大熊猫科普、研学自然教育基地。</w:t>
            </w:r>
          </w:p>
        </w:tc>
        <w:tc>
          <w:tcPr>
            <w:tcW w:w="1337"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23</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熊猫森林国际探索学校（营地）二期项目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在专门划定的自然教育区域内，搭建占地1500㎡的装配式营地。按照国际营地标准配套设施设备，满足超过120人接待容纳量，并在大熊猫国家公园的科普区内开辟自然科普、科考线路，放置和搭建自然体验工坊15个，自然观察站若干、森林文创空间等项目载体，最终把熊猫森林国际探索学校打造成国内一流的自然教育主题研学营地。</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spacing w:line="240" w:lineRule="auto"/>
              <w:ind w:firstLine="0" w:firstLineChars="0"/>
              <w:jc w:val="center"/>
              <w:rPr>
                <w:rFonts w:cs="Times New Roman"/>
                <w:sz w:val="21"/>
                <w:szCs w:val="21"/>
              </w:rPr>
            </w:pPr>
            <w:r>
              <w:rPr>
                <w:rFonts w:cs="Times New Roman"/>
                <w:sz w:val="21"/>
                <w:szCs w:val="21"/>
              </w:rPr>
              <w:t>24</w:t>
            </w:r>
          </w:p>
        </w:tc>
        <w:tc>
          <w:tcPr>
            <w:tcW w:w="1102" w:type="dxa"/>
            <w:vAlign w:val="center"/>
          </w:tcPr>
          <w:p>
            <w:pPr>
              <w:spacing w:line="240" w:lineRule="auto"/>
              <w:ind w:firstLine="0" w:firstLineChars="0"/>
              <w:jc w:val="center"/>
              <w:rPr>
                <w:rFonts w:cs="Times New Roman"/>
                <w:sz w:val="21"/>
                <w:szCs w:val="21"/>
              </w:rPr>
            </w:pPr>
            <w:r>
              <w:rPr>
                <w:rFonts w:cs="Times New Roman"/>
                <w:sz w:val="21"/>
                <w:szCs w:val="21"/>
              </w:rPr>
              <w:t>大熊猫科普馆及生态体验教育场馆建设项目</w:t>
            </w:r>
          </w:p>
        </w:tc>
        <w:tc>
          <w:tcPr>
            <w:tcW w:w="75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988" w:type="dxa"/>
            <w:vAlign w:val="center"/>
          </w:tcPr>
          <w:p>
            <w:pPr>
              <w:spacing w:line="240" w:lineRule="auto"/>
              <w:ind w:firstLine="0" w:firstLineChars="0"/>
              <w:rPr>
                <w:rFonts w:cs="Times New Roman"/>
                <w:sz w:val="21"/>
                <w:szCs w:val="21"/>
              </w:rPr>
            </w:pPr>
            <w:r>
              <w:rPr>
                <w:rFonts w:cs="Times New Roman"/>
                <w:sz w:val="21"/>
                <w:szCs w:val="21"/>
              </w:rPr>
              <w:t>龙苍沟大熊猫科普生态体验馆总规划占地面积约19000平方米。项目建设内容包括游客接待中心、以大熊猫文化为主题修建大熊猫科普教育馆3000平方米，并对其进行布展，以及配套相关的水、电、停车场等基础设施建设；修建大熊猫兽舍1000平方米、室外运动场14000平方米和相关配套设施600平方米。</w:t>
            </w:r>
          </w:p>
        </w:tc>
        <w:tc>
          <w:tcPr>
            <w:tcW w:w="1337"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hint="eastAsia" w:ascii="仿宋_GB2312" w:hAnsi="仿宋_GB2312" w:eastAsia="仿宋_GB2312" w:cs="仿宋_GB2312"/>
        </w:rPr>
      </w:pPr>
      <w:bookmarkStart w:id="119" w:name="_Toc22272"/>
      <w:r>
        <w:rPr>
          <w:rFonts w:hint="eastAsia" w:ascii="仿宋_GB2312" w:hAnsi="仿宋_GB2312" w:eastAsia="仿宋_GB2312" w:cs="仿宋_GB2312"/>
          <w:lang w:val="en-US" w:eastAsia="zh-CN"/>
        </w:rPr>
        <w:t>2.</w:t>
      </w:r>
      <w:r>
        <w:rPr>
          <w:rFonts w:hint="eastAsia" w:ascii="仿宋_GB2312" w:hAnsi="仿宋_GB2312" w:eastAsia="仿宋_GB2312" w:cs="仿宋_GB2312"/>
        </w:rPr>
        <w:t>电子商务</w:t>
      </w:r>
      <w:bookmarkEnd w:id="119"/>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发展目标</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szCs w:val="32"/>
        </w:rPr>
        <w:t>扎实推进国家级电子商务进农村示范县建设，</w:t>
      </w:r>
      <w:r>
        <w:rPr>
          <w:rFonts w:hint="eastAsia" w:ascii="仿宋_GB2312" w:hAnsi="仿宋_GB2312" w:eastAsia="仿宋_GB2312" w:cs="仿宋_GB2312"/>
        </w:rPr>
        <w:t>力争到2025年，电商成为荥经县经济发展新引擎，全县各类电子商务企业突破1500家，打造一批特色鲜明的数字化、网络化、信息化融合示范项目，实现电子商务交易额5亿元以上。</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重点任务</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加强电商服务平台建设，健全全县电商服务体系</w:t>
      </w:r>
      <w:r>
        <w:rPr>
          <w:rFonts w:hint="eastAsia" w:ascii="仿宋_GB2312" w:hAnsi="仿宋_GB2312" w:eastAsia="仿宋_GB2312" w:cs="仿宋_GB2312"/>
        </w:rPr>
        <w:t>。一是加快建设荥经电子商务产业园，打破地域限制，整合资源，集中打造集合电子商务运营、产品加工、培训孵化、金融服务、仓储配送、冷链物流、企业入驻、产品展销、数据统计等功能的电商产业园。二是加快打造电子商务协会中介平台，成立荥经县电子商务协会，作为网商与政府部门间交流沟通的纽带与桥梁。可以通过电子商务协会为会员开辟县域内的供货渠道，募集社会闲散资金，提供相关培训交流、技术咨询与支持服务。三是提升物流综合服务平台功能，</w:t>
      </w:r>
      <w:r>
        <w:rPr>
          <w:rFonts w:hint="eastAsia" w:ascii="仿宋_GB2312" w:hAnsi="仿宋_GB2312" w:eastAsia="仿宋_GB2312" w:cs="仿宋_GB2312"/>
          <w:color w:val="000000"/>
        </w:rPr>
        <w:t>以公路、邮政、供销合作网络为依托，推动物流枢纽场站与电商设施网络和服务相互促进提升，积极推进综合信息服务平台和电商物流信息对接，形成连接城乡、覆盖全国、面向国际的电子商务货运体系，打造一批数字化、网络化、信息化融合示范项目。</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加强电子商务主体引培力度，激活电商的发展活力</w:t>
      </w:r>
      <w:r>
        <w:rPr>
          <w:rFonts w:hint="eastAsia" w:ascii="仿宋_GB2312" w:hAnsi="仿宋_GB2312" w:eastAsia="仿宋_GB2312" w:cs="仿宋_GB2312"/>
        </w:rPr>
        <w:t>。一是引导各行业龙头企业加快实施主辅分离，建立独立电商部门或成立子公司，带动上下游产业链协同发展，推动形成规模效应并逐步发展成为专业的、具有影响力的电商平台。二是以国家级电子商务进农村综合示范项目提升为契机，依托本地政策扶持政策与措施，立足本地产业发展需求，通过建立平台公司，引进中小电商企业和微商等入驻。三是加强本地电商企业培育，加大对有潜力、基础好、成长快、特色突出的本地电商企业的扶持力度，培育一批具有行业影响力的电子商务企业。四是加强电商企业孵化，依托荥经电子商务产业园，打造集创新、创意、创业、培训、融资等多种功能于一体的电子商务孵化器，为创新创业的初创电商企业提供良好的成长环境。</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注重电子商务人才培育工作，提升电商专业化水平</w:t>
      </w:r>
      <w:r>
        <w:rPr>
          <w:rFonts w:hint="eastAsia" w:ascii="仿宋_GB2312" w:hAnsi="仿宋_GB2312" w:eastAsia="仿宋_GB2312" w:cs="仿宋_GB2312"/>
        </w:rPr>
        <w:t>。一是依托荥经电子商务产业园，持续推进电商行政管理层培训、乡镇普及培训、电商创业就业培训、电商扶贫培训，同时创新培训方式，组织各企业通过淘宝、京东、抖音等线上新媒体平台实现培训。二是大力发展电子商务类职业教育，推动职业中学及中高职衔接院校与电子商务相关企业合作，设立电子商务专业，形成产教融合人才培养模式。三是营造良好的电商就业环境，加强电商人才创新创业扶持力度，加快建设创新创业载体，促进大学生创业。完善电商就业优惠政策，精准兑现各项承诺，提升公信力。加强宣传教育，引导大学生更新就业择业创业观念，鼓励大学生投身基层施展才华，将人才留在荥经。</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创新电子商务销售服务模式，发展本地的直播电商</w:t>
      </w:r>
      <w:r>
        <w:rPr>
          <w:rFonts w:hint="eastAsia" w:ascii="仿宋_GB2312" w:hAnsi="仿宋_GB2312" w:eastAsia="仿宋_GB2312" w:cs="仿宋_GB2312"/>
        </w:rPr>
        <w:t>。利用民族待遇县政策优势，加强与淘宝直播、抖音、快手等直播平台合作，积极招引直播电商服务商，打造直播电商产业基地。积极培育一批生活服务、工业品、农产品等专业直播电商平台。培育引进MCN机构，发挥荥经县主导产业优势，培育发展一批优质主播，提高网红服务能力和运营能力。支持数据营销服务商、供应链服务商、综合技术解决方案提供商等专业直播服务机构入驻荥经县，完善电商产业链条。推动“线上引流+实体消费”新模式发展，通过直播电商推动农产品上行、工业品下行。</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积极发展跨境电子商务服务，积极开拓海内外市场</w:t>
      </w:r>
      <w:r>
        <w:rPr>
          <w:rFonts w:hint="eastAsia" w:ascii="仿宋_GB2312" w:hAnsi="仿宋_GB2312" w:eastAsia="仿宋_GB2312" w:cs="仿宋_GB2312"/>
        </w:rPr>
        <w:t>。打造特色行业跨境电子商务，加快融入中国（成都）跨境电子商务综合试验区。引导具有外贸业务的传统企业积极开展跨境电商业务，通过电商积极开拓国外市场。打造进出口商品展销平台。鼓励荥经传统生产制造企业、服务企业通过跨境电商实现品牌、服务走出去，引导企业关注小语种市场，适应小批量、多批次、快速发货等新的外贸市场需求，参与全球市场竞争。在荥经电子商务产业设立跨境电子商务功能区，实现跨境电子商务集聚发展。培育外贸服务主体，引进全流程型外贸综合服务企业来荥经县开展业务，鼓励本地外贸服务企业提升国际化经营水平。</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积极推动总部经济的发展，建设全省山区经济强县。</w:t>
      </w:r>
      <w:r>
        <w:rPr>
          <w:rFonts w:hint="eastAsia" w:ascii="仿宋_GB2312" w:hAnsi="仿宋_GB2312" w:eastAsia="仿宋_GB2312" w:cs="仿宋_GB2312"/>
        </w:rPr>
        <w:t>一要加快推进荥经总部经济产业园建设，依托产业园和</w:t>
      </w:r>
      <w:r>
        <w:rPr>
          <w:rFonts w:hint="eastAsia" w:ascii="仿宋_GB2312" w:hAnsi="仿宋_GB2312" w:eastAsia="仿宋_GB2312" w:cs="仿宋_GB2312"/>
          <w:bCs/>
          <w:spacing w:val="6"/>
          <w:szCs w:val="32"/>
        </w:rPr>
        <w:t>川西新型建材产业基地，引导资源大规模聚合，</w:t>
      </w:r>
      <w:r>
        <w:rPr>
          <w:rFonts w:hint="eastAsia" w:ascii="仿宋_GB2312" w:hAnsi="仿宋_GB2312" w:eastAsia="仿宋_GB2312" w:cs="仿宋_GB2312"/>
        </w:rPr>
        <w:t>招引</w:t>
      </w:r>
      <w:r>
        <w:rPr>
          <w:rFonts w:hint="eastAsia" w:ascii="仿宋_GB2312" w:hAnsi="仿宋_GB2312" w:eastAsia="仿宋_GB2312" w:cs="仿宋_GB2312"/>
          <w:szCs w:val="32"/>
          <w:lang w:bidi="ar"/>
        </w:rPr>
        <w:t>以现代物流、电子商务、现代商贸、新型建筑建材等为主导的</w:t>
      </w:r>
      <w:r>
        <w:rPr>
          <w:rFonts w:hint="eastAsia" w:ascii="仿宋_GB2312" w:hAnsi="仿宋_GB2312" w:eastAsia="仿宋_GB2312" w:cs="仿宋_GB2312"/>
        </w:rPr>
        <w:t>西部地区乃至全国的领军企业、跨国公司地区总部、</w:t>
      </w:r>
      <w:r>
        <w:rPr>
          <w:rFonts w:hint="eastAsia" w:ascii="仿宋_GB2312" w:hAnsi="仿宋_GB2312" w:eastAsia="仿宋_GB2312" w:cs="仿宋_GB2312"/>
          <w:szCs w:val="32"/>
          <w:lang w:bidi="ar"/>
        </w:rPr>
        <w:t>综合型（区域型）总部企业、功能型总部企业</w:t>
      </w:r>
      <w:r>
        <w:rPr>
          <w:rFonts w:hint="eastAsia" w:ascii="仿宋_GB2312" w:hAnsi="仿宋_GB2312" w:eastAsia="仿宋_GB2312" w:cs="仿宋_GB2312"/>
        </w:rPr>
        <w:t>入驻，同时加强园区载体建设，满足商务性会议、商务性活动的需求。二要制定出台《荥经县总部经济发展的实施意见》，加快拨付兑现中央、省、市、县各项涉企专项资金，加强财税、金融等支持力度，并</w:t>
      </w:r>
      <w:r>
        <w:rPr>
          <w:rFonts w:hint="eastAsia" w:ascii="仿宋_GB2312" w:hAnsi="仿宋_GB2312" w:eastAsia="仿宋_GB2312" w:cs="仿宋_GB2312"/>
          <w:szCs w:val="32"/>
          <w:lang w:bidi="ar"/>
        </w:rPr>
        <w:t>通过发挥行业协会、中介组织、专业机构的桥梁纽带作用，</w:t>
      </w:r>
      <w:r>
        <w:rPr>
          <w:rFonts w:hint="eastAsia" w:ascii="仿宋_GB2312" w:hAnsi="仿宋_GB2312" w:eastAsia="仿宋_GB2312" w:cs="仿宋_GB2312"/>
        </w:rPr>
        <w:t>加强总部经济的政策宣传力度。三要积极优化总部经济服务环境，建立总部经济发展协调促进机制，成立荥经县总部经济发展领导小组，指导、督促、检查总部经济发展各项工作。切实优化政务服务环境，建立县级领导、行业主管部门与总部企业对口联系服务制度，重点帮助总部企业解决生产经营中的困难和问题。</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推动电商在多领域创新应用，满足各产业发展需要</w:t>
      </w:r>
      <w:r>
        <w:rPr>
          <w:rFonts w:hint="eastAsia" w:ascii="仿宋_GB2312" w:hAnsi="仿宋_GB2312" w:eastAsia="仿宋_GB2312" w:cs="仿宋_GB2312"/>
        </w:rPr>
        <w:t>。推动“电商+农业”融合发展，助力农产品上行，围绕荥经优质特色农产品资源，进行统一策划包装、设计、营销，实施品牌创建计划，借力直播电商，销售优质农特产品、滞销农产品，带动农民增收。推动“电商+工业”融合发展，鼓励制造业企业与电商服务机构合作，以新型建材龙头企业为抓手，建设新型建材产业链交易平台，利用电商压缩中间环节、重塑交易方式、融合线上线下互动，推动制造业企业拓宽销售渠道。推动“电商+服务业”融合发展，</w:t>
      </w:r>
      <w:r>
        <w:rPr>
          <w:rFonts w:hint="eastAsia" w:ascii="仿宋_GB2312" w:hAnsi="仿宋_GB2312" w:eastAsia="仿宋_GB2312" w:cs="仿宋_GB2312"/>
          <w:szCs w:val="32"/>
        </w:rPr>
        <w:t>完善荥经县旅游A</w:t>
      </w:r>
      <w:r>
        <w:rPr>
          <w:rFonts w:hint="eastAsia" w:ascii="仿宋_GB2312" w:hAnsi="仿宋_GB2312" w:eastAsia="仿宋_GB2312" w:cs="仿宋_GB2312"/>
          <w:szCs w:val="32"/>
          <w:lang w:val="en-US" w:eastAsia="zh-CN"/>
        </w:rPr>
        <w:t>PP程序</w:t>
      </w:r>
      <w:r>
        <w:rPr>
          <w:rFonts w:hint="eastAsia" w:ascii="仿宋_GB2312" w:hAnsi="仿宋_GB2312" w:eastAsia="仿宋_GB2312" w:cs="仿宋_GB2312"/>
          <w:szCs w:val="32"/>
        </w:rPr>
        <w:t>，开发荥经县龙苍沟文化旅游微信小程序，将当地酒店预订、餐饮预订、门票预订、农产品选购、活动报名、地图定位等服务功能完整纳入。</w:t>
      </w:r>
      <w:r>
        <w:rPr>
          <w:rFonts w:hint="eastAsia" w:ascii="仿宋_GB2312" w:hAnsi="仿宋_GB2312" w:eastAsia="仿宋_GB2312" w:cs="仿宋_GB2312"/>
        </w:rPr>
        <w:t>打造多元化直播电商应用场景，鼓励住宿、餐饮、旅游等行业创新开展直播电商活动。拓展商业贸易电子商务应用，鼓励商贸企业发展新零售业务或应用网络营销工具，促进传统专业市场与电子商务行业平台业务融合发展。</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w:t>
      </w:r>
      <w:r>
        <w:rPr>
          <w:rFonts w:hint="eastAsia" w:ascii="仿宋_GB2312" w:hAnsi="仿宋_GB2312" w:eastAsia="仿宋_GB2312" w:cs="仿宋_GB2312"/>
        </w:rPr>
        <w:t>重点项目</w:t>
      </w:r>
    </w:p>
    <w:p>
      <w:pPr>
        <w:pStyle w:val="41"/>
        <w:numPr>
          <w:ilvl w:val="0"/>
          <w:numId w:val="0"/>
        </w:numPr>
        <w:ind w:leftChars="0"/>
        <w:jc w:val="center"/>
        <w:rPr>
          <w:rFonts w:hint="eastAsia" w:cs="Times New Roman"/>
          <w:lang w:val="en-US" w:eastAsia="zh-CN"/>
        </w:rPr>
      </w:pPr>
    </w:p>
    <w:p>
      <w:pPr>
        <w:pStyle w:val="41"/>
        <w:numPr>
          <w:ilvl w:val="0"/>
          <w:numId w:val="0"/>
        </w:numPr>
        <w:ind w:leftChars="0"/>
        <w:jc w:val="center"/>
        <w:rPr>
          <w:rFonts w:cs="Times New Roman"/>
        </w:rPr>
      </w:pPr>
      <w:r>
        <w:rPr>
          <w:rFonts w:hint="eastAsia" w:cs="Times New Roman"/>
          <w:lang w:val="en-US" w:eastAsia="zh-CN"/>
        </w:rPr>
        <w:t xml:space="preserve">表7  </w:t>
      </w:r>
      <w:r>
        <w:rPr>
          <w:rFonts w:cs="Times New Roman"/>
        </w:rPr>
        <w:t>荥经县“十四五”电子商务业重点项目表</w:t>
      </w:r>
    </w:p>
    <w:tbl>
      <w:tblPr>
        <w:tblStyle w:val="20"/>
        <w:tblW w:w="8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076"/>
        <w:gridCol w:w="686"/>
        <w:gridCol w:w="4875"/>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7" w:type="dxa"/>
            <w:shd w:val="clear" w:color="auto" w:fill="CFCECE" w:themeFill="background2" w:themeFillShade="E5"/>
            <w:vAlign w:val="center"/>
          </w:tcPr>
          <w:p>
            <w:pPr>
              <w:widowControl/>
              <w:spacing w:line="240" w:lineRule="auto"/>
              <w:ind w:firstLine="0" w:firstLineChars="0"/>
              <w:jc w:val="center"/>
              <w:rPr>
                <w:rFonts w:eastAsia="黑体" w:cs="Times New Roman"/>
                <w:b/>
                <w:bCs/>
                <w:kern w:val="0"/>
                <w:sz w:val="21"/>
                <w:szCs w:val="21"/>
              </w:rPr>
            </w:pPr>
            <w:r>
              <w:rPr>
                <w:rFonts w:eastAsia="黑体" w:cs="Times New Roman"/>
                <w:b/>
                <w:bCs/>
                <w:sz w:val="21"/>
                <w:szCs w:val="21"/>
              </w:rPr>
              <w:t>序号</w:t>
            </w:r>
          </w:p>
        </w:tc>
        <w:tc>
          <w:tcPr>
            <w:tcW w:w="1076"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686"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4875"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207"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076" w:type="dxa"/>
            <w:vAlign w:val="center"/>
          </w:tcPr>
          <w:p>
            <w:pPr>
              <w:spacing w:line="240" w:lineRule="auto"/>
              <w:ind w:firstLine="0" w:firstLineChars="0"/>
              <w:jc w:val="center"/>
              <w:rPr>
                <w:rFonts w:cs="Times New Roman"/>
                <w:sz w:val="21"/>
                <w:szCs w:val="21"/>
              </w:rPr>
            </w:pPr>
            <w:r>
              <w:rPr>
                <w:rFonts w:cs="Times New Roman"/>
                <w:sz w:val="21"/>
                <w:szCs w:val="21"/>
              </w:rPr>
              <w:t>荥经县电商产业园建设</w:t>
            </w:r>
          </w:p>
        </w:tc>
        <w:tc>
          <w:tcPr>
            <w:tcW w:w="686"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875" w:type="dxa"/>
            <w:vAlign w:val="center"/>
          </w:tcPr>
          <w:p>
            <w:pPr>
              <w:spacing w:line="240" w:lineRule="auto"/>
              <w:ind w:firstLine="0" w:firstLineChars="0"/>
              <w:rPr>
                <w:rFonts w:cs="Times New Roman"/>
                <w:sz w:val="21"/>
                <w:szCs w:val="21"/>
              </w:rPr>
            </w:pPr>
            <w:r>
              <w:rPr>
                <w:rFonts w:cs="Times New Roman"/>
                <w:sz w:val="21"/>
                <w:szCs w:val="21"/>
              </w:rPr>
              <w:t>扎实推进国家级电子商务进农村建设，提升县域电商覆盖范围和质量。</w:t>
            </w:r>
          </w:p>
        </w:tc>
        <w:tc>
          <w:tcPr>
            <w:tcW w:w="1207"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1076" w:type="dxa"/>
            <w:vAlign w:val="center"/>
          </w:tcPr>
          <w:p>
            <w:pPr>
              <w:spacing w:line="240" w:lineRule="auto"/>
              <w:ind w:firstLine="0" w:firstLineChars="0"/>
              <w:jc w:val="center"/>
              <w:rPr>
                <w:rFonts w:cs="Times New Roman"/>
                <w:sz w:val="21"/>
                <w:szCs w:val="21"/>
              </w:rPr>
            </w:pPr>
            <w:r>
              <w:rPr>
                <w:rFonts w:cs="Times New Roman"/>
                <w:sz w:val="21"/>
                <w:szCs w:val="21"/>
                <w:lang w:bidi="ar"/>
              </w:rPr>
              <w:t>荥经县总部经济产业园项目</w:t>
            </w:r>
          </w:p>
        </w:tc>
        <w:tc>
          <w:tcPr>
            <w:tcW w:w="686" w:type="dxa"/>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875" w:type="dxa"/>
            <w:vAlign w:val="center"/>
          </w:tcPr>
          <w:p>
            <w:pPr>
              <w:spacing w:line="240" w:lineRule="auto"/>
              <w:ind w:firstLine="0" w:firstLineChars="0"/>
              <w:rPr>
                <w:rFonts w:cs="Times New Roman"/>
                <w:sz w:val="21"/>
                <w:szCs w:val="21"/>
              </w:rPr>
            </w:pPr>
            <w:r>
              <w:rPr>
                <w:rFonts w:cs="Times New Roman"/>
                <w:sz w:val="21"/>
                <w:szCs w:val="21"/>
                <w:lang w:bidi="ar"/>
              </w:rPr>
              <w:t>项目拟占地50亩，新建总部大楼、交易中心及配套设施，对全县总部经济企业进行整合，形成我县总部经济产业集群。</w:t>
            </w:r>
          </w:p>
        </w:tc>
        <w:tc>
          <w:tcPr>
            <w:tcW w:w="1207"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20" w:name="_Toc16294"/>
      <w:bookmarkStart w:id="121" w:name="_Toc30866"/>
      <w:bookmarkStart w:id="122" w:name="_Toc6086"/>
      <w:r>
        <w:rPr>
          <w:rFonts w:hint="eastAsia" w:cs="Times New Roman"/>
          <w:lang w:val="en-US" w:eastAsia="zh-CN"/>
        </w:rPr>
        <w:t>3.</w:t>
      </w:r>
      <w:r>
        <w:rPr>
          <w:rFonts w:cs="Times New Roman"/>
        </w:rPr>
        <w:t>特色餐饮</w:t>
      </w:r>
      <w:bookmarkEnd w:id="120"/>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发展目标</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rPr>
        <w:t>围绕“一个会客厅、一张好菜谱，</w:t>
      </w:r>
      <w:r>
        <w:rPr>
          <w:rFonts w:cs="Times New Roman"/>
          <w:szCs w:val="32"/>
          <w:lang w:bidi="ar"/>
        </w:rPr>
        <w:t>一桌特色宴，一条美食街”大力发展特色餐饮产业，</w:t>
      </w:r>
      <w:r>
        <w:rPr>
          <w:rFonts w:cs="Times New Roman"/>
        </w:rPr>
        <w:t>力争到2025年，成功建成以颛顼广场为核心、以“一品天下•荥经会客厅”为中心的夜间经济暨荥经特色美食示范街和集聚区，全县限上餐饮企业超过20家，餐饮</w:t>
      </w:r>
      <w:r>
        <w:rPr>
          <w:rFonts w:hint="eastAsia" w:cs="Times New Roman"/>
        </w:rPr>
        <w:t>营业额</w:t>
      </w:r>
      <w:r>
        <w:rPr>
          <w:rFonts w:cs="Times New Roman"/>
        </w:rPr>
        <w:t>超过5亿元。</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重点任务</w:t>
      </w:r>
    </w:p>
    <w:p>
      <w:pPr>
        <w:pStyle w:val="30"/>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推进一批特色餐饮项目，打造一个会客厅</w:t>
      </w:r>
      <w:r>
        <w:rPr>
          <w:rFonts w:hint="default" w:ascii="Times New Roman" w:hAnsi="Times New Roman" w:eastAsia="仿宋_GB2312" w:cs="Times New Roman"/>
          <w:kern w:val="2"/>
          <w:sz w:val="32"/>
          <w:szCs w:val="32"/>
          <w:lang w:val="en-US" w:eastAsia="zh-CN" w:bidi="ar-SA"/>
        </w:rPr>
        <w:t>。实施特色餐饮培育工程，分年度制定一批载体建设、基础设施提升、品牌打造、主体培育等的特色餐饮项目；打造几个具有影响力的特色餐饮项目，加强对</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一品天下•荥经会客厅</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荥经特色美食示范街区、荥经休闲文化特色商业街等业态先进、规模较大、拉动效应强、示范引领作用突出的重点项目的财政资金支持力度和项目招商引资力度，做好规划设计，引进国际国内餐饮服务新业态、新商业模式，将“一品天下•荥经会客厅”打造成为食客们首选的打卡地；加强宣传和推广，线上通过网络、媒体打响重点项目知名度，线下依托七星园、颛顼广场、特色美食街、美食广场等重点项目载体，定期举办美食节、美食嘉年华、美食文化周等美食活动，融入美食文化、美食制作、民宿体验、互动活动等元素。</w:t>
      </w:r>
    </w:p>
    <w:p>
      <w:pPr>
        <w:pStyle w:val="30"/>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打响一批特色餐饮品牌，打造一张好菜谱</w:t>
      </w:r>
      <w:r>
        <w:rPr>
          <w:rFonts w:hint="default" w:ascii="Times New Roman" w:hAnsi="Times New Roman" w:eastAsia="仿宋_GB2312" w:cs="Times New Roman"/>
          <w:kern w:val="2"/>
          <w:sz w:val="32"/>
          <w:szCs w:val="32"/>
          <w:lang w:val="en-US" w:eastAsia="zh-CN" w:bidi="ar-SA"/>
        </w:rPr>
        <w:t>。开展餐饮“三名”打造行动，即“名店、名菜、名厨”。打造荥经特色餐饮名店</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以七星园、三兴源等餐饮企业为重点，打造餐饮美食龙头企业，培育一批具有特色、内涵丰富、影响力大的餐饮龙头企业品牌，鼓励龙头餐饮企业联合荥经餐饮企业组建荥经餐饮美食联盟。支持“荥经棒棒鸡、荥经挞挞面”等特色餐饮企业参与“雅安味道”服务质量等级评定活动，打响餐饮企业知名度。做好连锁门店，以荥经棒棒鸡为主的门店要学习借鉴“廖记棒棒鸡”的品牌效应，进行品牌打造，树立品牌标准，讲好品牌故事，创新营销理念，建立营销队伍。做好荥经特色餐饮名菜</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加强棒棒鸡菜品研发，在传统椒麻鸡的基础上研发出山珍鸡、青椒鸡、藤椒鸡系列。积极开展“荥经棒棒鸡”“荥经挞挞面”“荥经椒盐饼子”“花滩麻辣豆腐”等地方集体品牌的申报工作，积极参与“省级重点品牌”培育工程。定期举办厨艺大赛、菜品创新大赛等活动，以活动促进技术提升和菜品创新。培养荥经特色餐饮名厨</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开展以棒棒鸡为主的荥经特色餐饮菜品制作技艺标准制定，积极申报各级非物质文化遗产，培养技艺传承人，摒弃传统的家族传承，规范拜师流程和形式，建立师承关系谱系，鼓励更多有意的人参与学习，壮大餐饮名厨后备力量。</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开发一条特色餐饮线路，打造一桌特色宴</w:t>
      </w:r>
      <w:r>
        <w:rPr>
          <w:rFonts w:hint="eastAsia" w:ascii="Times New Roman" w:hAnsi="Times New Roman" w:eastAsia="仿宋_GB2312" w:cs="Times New Roman"/>
          <w:kern w:val="2"/>
          <w:sz w:val="32"/>
          <w:szCs w:val="32"/>
          <w:lang w:val="en-US" w:eastAsia="zh-CN" w:bidi="ar-SA"/>
        </w:rPr>
        <w:t>。全面整合荥经特色美食旅游资源，将各区域特色美食串联，开发一条特色美食精品路线，建设一批特色餐饮美食品鉴地，打造充分展示荥经餐饮文化特色的“黑砂宴”“国宝宴”“非遗宴”“长街宴”四大名宴。鼓励县融媒体中心拍摄制作荥经特色美食专题片，与县摄影家协会合作拍摄荥经特色餐饮美图，制作出荥经美食地图，并充分利用报刊杂志、知名美食旅游A</w:t>
      </w:r>
      <w:r>
        <w:rPr>
          <w:rFonts w:hint="eastAsia" w:cs="Times New Roman"/>
          <w:kern w:val="2"/>
          <w:sz w:val="32"/>
          <w:szCs w:val="32"/>
          <w:lang w:val="en-US" w:eastAsia="zh-CN" w:bidi="ar-SA"/>
        </w:rPr>
        <w:t>PP</w:t>
      </w:r>
      <w:r>
        <w:rPr>
          <w:rFonts w:hint="eastAsia" w:ascii="Times New Roman" w:hAnsi="Times New Roman" w:eastAsia="仿宋_GB2312" w:cs="Times New Roman"/>
          <w:kern w:val="2"/>
          <w:sz w:val="32"/>
          <w:szCs w:val="32"/>
          <w:lang w:val="en-US" w:eastAsia="zh-CN" w:bidi="ar-SA"/>
        </w:rPr>
        <w:t>，大加强宣传推广。同时加强特色餐饮与各乡镇特色农业的联动互动，积极发挥荥经绿色生态有机农业优势，加强高品质食材种植培育，加强与下游生鲜连锁企业衔接，形成产品供应链，延伸餐饮产业链。大力宣传“荥经天麻”“荥经黄金茶”，鼓励“荥经枇杷茶”等特色农产品品牌，扩大农特产品品牌知名度。充分利用荥经好山好水好空气的自然优势，加强荥经跑山鸡的规模化生态养殖，在为“荥经棒棒鸡”提供优质食材的同时，开发从田间到餐桌体验活动，带动荥经乡镇餐饮创新发展。</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提升一批特色餐饮载体，打造</w:t>
      </w:r>
      <w:r>
        <w:rPr>
          <w:rFonts w:hint="eastAsia" w:cs="Times New Roman"/>
          <w:b/>
          <w:bCs/>
          <w:kern w:val="2"/>
          <w:sz w:val="32"/>
          <w:szCs w:val="32"/>
          <w:lang w:val="en-US" w:eastAsia="zh-CN" w:bidi="ar-SA"/>
        </w:rPr>
        <w:t>特色</w:t>
      </w:r>
      <w:r>
        <w:rPr>
          <w:rFonts w:hint="eastAsia" w:ascii="Times New Roman" w:hAnsi="Times New Roman" w:eastAsia="仿宋_GB2312" w:cs="Times New Roman"/>
          <w:b/>
          <w:bCs/>
          <w:kern w:val="2"/>
          <w:sz w:val="32"/>
          <w:szCs w:val="32"/>
          <w:lang w:val="en-US" w:eastAsia="zh-CN" w:bidi="ar-SA"/>
        </w:rPr>
        <w:t>美食街</w:t>
      </w:r>
      <w:r>
        <w:rPr>
          <w:rFonts w:hint="eastAsia" w:ascii="Times New Roman" w:hAnsi="Times New Roman" w:eastAsia="仿宋_GB2312" w:cs="Times New Roman"/>
          <w:kern w:val="2"/>
          <w:sz w:val="32"/>
          <w:szCs w:val="32"/>
          <w:lang w:val="en-US" w:eastAsia="zh-CN" w:bidi="ar-SA"/>
        </w:rPr>
        <w:t>。</w:t>
      </w:r>
      <w:r>
        <w:rPr>
          <w:rFonts w:hint="eastAsia" w:ascii="仿宋_GB2312" w:hAnsi="仿宋" w:eastAsia="仿宋_GB2312"/>
          <w:b w:val="0"/>
          <w:bCs w:val="0"/>
          <w:color w:val="000000"/>
          <w:sz w:val="32"/>
          <w:szCs w:val="32"/>
        </w:rPr>
        <w:t>打造鸿林新城特色餐饮区，</w:t>
      </w:r>
      <w:r>
        <w:rPr>
          <w:rFonts w:hint="eastAsia" w:ascii="仿宋_GB2312" w:hAnsi="仿宋" w:eastAsia="仿宋_GB2312"/>
          <w:b w:val="0"/>
          <w:bCs w:val="0"/>
          <w:color w:val="000000"/>
          <w:sz w:val="32"/>
          <w:szCs w:val="32"/>
          <w:lang w:val="en-US" w:eastAsia="zh-CN"/>
        </w:rPr>
        <w:t>建成</w:t>
      </w:r>
      <w:r>
        <w:rPr>
          <w:rFonts w:hint="eastAsia" w:ascii="仿宋_GB2312" w:hAnsi="仿宋"/>
          <w:b w:val="0"/>
          <w:bCs w:val="0"/>
          <w:color w:val="000000"/>
          <w:sz w:val="32"/>
          <w:szCs w:val="32"/>
          <w:lang w:val="en-US" w:eastAsia="zh-CN"/>
        </w:rPr>
        <w:t>严道里</w:t>
      </w:r>
      <w:r>
        <w:rPr>
          <w:rFonts w:hint="eastAsia" w:ascii="仿宋_GB2312" w:hAnsi="仿宋" w:eastAsia="仿宋_GB2312"/>
          <w:b w:val="0"/>
          <w:bCs w:val="0"/>
          <w:color w:val="000000"/>
          <w:sz w:val="32"/>
          <w:szCs w:val="32"/>
        </w:rPr>
        <w:t>美食广场、颛顼广场夜生活中心、七星园旅游特色商品街</w:t>
      </w:r>
      <w:r>
        <w:rPr>
          <w:rFonts w:hint="eastAsia" w:ascii="仿宋_GB2312" w:hAnsi="仿宋" w:eastAsia="仿宋_GB2312"/>
          <w:b w:val="0"/>
          <w:bCs w:val="0"/>
          <w:color w:val="000000"/>
          <w:sz w:val="32"/>
          <w:szCs w:val="32"/>
          <w:lang w:val="en-US" w:eastAsia="zh-CN"/>
        </w:rPr>
        <w:t>和</w:t>
      </w:r>
      <w:r>
        <w:rPr>
          <w:rFonts w:hint="eastAsia" w:ascii="仿宋_GB2312" w:hAnsi="仿宋" w:eastAsia="仿宋_GB2312"/>
          <w:b w:val="0"/>
          <w:bCs w:val="0"/>
          <w:color w:val="000000"/>
          <w:sz w:val="32"/>
          <w:szCs w:val="32"/>
        </w:rPr>
        <w:t>滨河美食特色街区，</w:t>
      </w:r>
      <w:r>
        <w:rPr>
          <w:rFonts w:hint="eastAsia" w:ascii="仿宋_GB2312" w:hAnsi="仿宋" w:eastAsia="仿宋_GB2312"/>
          <w:b w:val="0"/>
          <w:bCs w:val="0"/>
          <w:color w:val="000000"/>
          <w:sz w:val="32"/>
          <w:szCs w:val="32"/>
          <w:lang w:val="en-US" w:eastAsia="zh-CN"/>
        </w:rPr>
        <w:t>不断</w:t>
      </w:r>
      <w:r>
        <w:rPr>
          <w:rFonts w:hint="eastAsia" w:ascii="仿宋_GB2312" w:hAnsi="仿宋" w:eastAsia="仿宋_GB2312"/>
          <w:b w:val="0"/>
          <w:bCs w:val="0"/>
          <w:color w:val="000000"/>
          <w:sz w:val="32"/>
          <w:szCs w:val="32"/>
        </w:rPr>
        <w:t>提升消费承载能力和服务业水平。</w:t>
      </w:r>
      <w:r>
        <w:rPr>
          <w:rFonts w:hint="eastAsia" w:ascii="Times New Roman" w:hAnsi="Times New Roman" w:eastAsia="仿宋_GB2312" w:cs="Times New Roman"/>
          <w:kern w:val="2"/>
          <w:sz w:val="32"/>
          <w:szCs w:val="32"/>
          <w:lang w:val="en-US" w:eastAsia="zh-CN" w:bidi="ar-SA"/>
        </w:rPr>
        <w:t>加快“一品天下•荥经会客厅”项目建设，形成一条风格鲜明、独树一帜的地域特色美食街，积极引进国内外知名餐饮品牌，引导本地餐饮品牌集聚发展，形成荥经“美食寻味”的网红打卡地，发挥集聚效益，争创市级、省级现代服务业集聚区。</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cs="Times New Roman"/>
        </w:rPr>
        <w:t>重点项目</w:t>
      </w:r>
    </w:p>
    <w:p>
      <w:pPr>
        <w:pStyle w:val="41"/>
        <w:numPr>
          <w:ilvl w:val="0"/>
          <w:numId w:val="0"/>
        </w:numPr>
        <w:ind w:leftChars="0"/>
        <w:jc w:val="center"/>
        <w:rPr>
          <w:rFonts w:cs="Times New Roman"/>
        </w:rPr>
      </w:pPr>
      <w:r>
        <w:rPr>
          <w:rFonts w:hint="eastAsia" w:cs="Times New Roman"/>
          <w:lang w:val="en-US" w:eastAsia="zh-CN"/>
        </w:rPr>
        <w:t xml:space="preserve">表8  </w:t>
      </w:r>
      <w:r>
        <w:rPr>
          <w:rFonts w:cs="Times New Roman"/>
        </w:rPr>
        <w:t>荥经县“十四五”特色餐饮重点项目表</w:t>
      </w:r>
    </w:p>
    <w:tbl>
      <w:tblPr>
        <w:tblStyle w:val="20"/>
        <w:tblW w:w="8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076"/>
        <w:gridCol w:w="686"/>
        <w:gridCol w:w="5132"/>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7" w:type="dxa"/>
            <w:shd w:val="clear" w:color="auto" w:fill="CFCECE" w:themeFill="background2" w:themeFillShade="E5"/>
            <w:vAlign w:val="center"/>
          </w:tcPr>
          <w:p>
            <w:pPr>
              <w:widowControl/>
              <w:spacing w:line="240" w:lineRule="auto"/>
              <w:ind w:firstLine="0" w:firstLineChars="0"/>
              <w:jc w:val="center"/>
              <w:rPr>
                <w:rFonts w:eastAsia="黑体" w:cs="Times New Roman"/>
                <w:b/>
                <w:bCs/>
                <w:kern w:val="0"/>
                <w:sz w:val="21"/>
                <w:szCs w:val="21"/>
              </w:rPr>
            </w:pPr>
            <w:r>
              <w:rPr>
                <w:rFonts w:eastAsia="黑体" w:cs="Times New Roman"/>
                <w:b/>
                <w:bCs/>
                <w:sz w:val="21"/>
                <w:szCs w:val="21"/>
              </w:rPr>
              <w:t>序号</w:t>
            </w:r>
          </w:p>
        </w:tc>
        <w:tc>
          <w:tcPr>
            <w:tcW w:w="1076"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686"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5132"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200" w:type="dxa"/>
            <w:shd w:val="clear" w:color="auto" w:fill="CFCECE" w:themeFill="background2" w:themeFillShade="E5"/>
            <w:vAlign w:val="center"/>
          </w:tcPr>
          <w:p>
            <w:pPr>
              <w:spacing w:line="240" w:lineRule="auto"/>
              <w:ind w:firstLine="0" w:firstLineChars="0"/>
              <w:jc w:val="center"/>
              <w:rPr>
                <w:rFonts w:eastAsia="黑体" w:cs="Times New Roman"/>
                <w:b/>
                <w:bCs/>
                <w:sz w:val="21"/>
                <w:szCs w:val="21"/>
              </w:rPr>
            </w:pPr>
            <w:r>
              <w:rPr>
                <w:rFonts w:eastAsia="黑体" w:cs="Times New Roman"/>
                <w:b/>
                <w:bCs/>
                <w:sz w:val="21"/>
                <w:szCs w:val="21"/>
                <w:lang w:bidi="ar"/>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076" w:type="dxa"/>
            <w:vAlign w:val="center"/>
          </w:tcPr>
          <w:p>
            <w:pPr>
              <w:spacing w:line="240" w:lineRule="auto"/>
              <w:ind w:firstLine="0" w:firstLineChars="0"/>
              <w:jc w:val="center"/>
              <w:rPr>
                <w:rFonts w:cs="Times New Roman"/>
                <w:sz w:val="21"/>
                <w:szCs w:val="21"/>
              </w:rPr>
            </w:pPr>
            <w:r>
              <w:rPr>
                <w:rFonts w:hint="eastAsia" w:cs="Times New Roman"/>
                <w:sz w:val="21"/>
                <w:szCs w:val="21"/>
              </w:rPr>
              <w:t>“一品天下•荥经会客厅”</w:t>
            </w:r>
            <w:r>
              <w:rPr>
                <w:rFonts w:cs="Times New Roman"/>
                <w:sz w:val="21"/>
                <w:szCs w:val="21"/>
              </w:rPr>
              <w:t>项目</w:t>
            </w:r>
          </w:p>
        </w:tc>
        <w:tc>
          <w:tcPr>
            <w:tcW w:w="686"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5132" w:type="dxa"/>
            <w:vAlign w:val="center"/>
          </w:tcPr>
          <w:p>
            <w:pPr>
              <w:spacing w:line="240" w:lineRule="auto"/>
              <w:ind w:firstLine="0" w:firstLineChars="0"/>
              <w:rPr>
                <w:rFonts w:cs="Times New Roman"/>
                <w:sz w:val="21"/>
                <w:szCs w:val="21"/>
              </w:rPr>
            </w:pPr>
            <w:r>
              <w:rPr>
                <w:rFonts w:cs="Times New Roman"/>
                <w:sz w:val="21"/>
                <w:szCs w:val="21"/>
              </w:rPr>
              <w:t>按照特色商业街标准打造集餐饮、休闲、娱乐、文化为主，集“吃，住，行，游，购，娱，创意，体验”等要素的商业文旅风情街，拟打造成“成雅荥西攀”一体化荥经组团中转的消费中心，社交中心，娱乐中心，聚客中心，充分体现荥经元素及特色。</w:t>
            </w:r>
          </w:p>
        </w:tc>
        <w:tc>
          <w:tcPr>
            <w:tcW w:w="1200" w:type="dxa"/>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2021-</w:t>
            </w:r>
            <w:r>
              <w:rPr>
                <w:rFonts w:hint="eastAsia" w:cs="Times New Roman"/>
                <w:sz w:val="21"/>
                <w:szCs w:val="21"/>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spacing w:line="240" w:lineRule="auto"/>
              <w:ind w:firstLine="0" w:firstLineChars="0"/>
              <w:jc w:val="center"/>
              <w:rPr>
                <w:rFonts w:cs="Times New Roman"/>
                <w:sz w:val="21"/>
                <w:szCs w:val="21"/>
              </w:rPr>
            </w:pPr>
            <w:r>
              <w:rPr>
                <w:rFonts w:cs="Times New Roman"/>
                <w:sz w:val="21"/>
                <w:szCs w:val="21"/>
                <w:lang w:bidi="ar"/>
              </w:rPr>
              <w:t>2</w:t>
            </w:r>
          </w:p>
        </w:tc>
        <w:tc>
          <w:tcPr>
            <w:tcW w:w="1076" w:type="dxa"/>
            <w:vAlign w:val="center"/>
          </w:tcPr>
          <w:p>
            <w:pPr>
              <w:spacing w:line="240" w:lineRule="auto"/>
              <w:ind w:firstLine="0" w:firstLineChars="0"/>
              <w:jc w:val="center"/>
              <w:rPr>
                <w:rFonts w:cs="Times New Roman"/>
                <w:sz w:val="21"/>
                <w:szCs w:val="21"/>
              </w:rPr>
            </w:pPr>
            <w:r>
              <w:rPr>
                <w:rFonts w:cs="Times New Roman"/>
                <w:sz w:val="21"/>
                <w:szCs w:val="21"/>
                <w:lang w:bidi="ar"/>
              </w:rPr>
              <w:t>荥经县美食一条街建设项目</w:t>
            </w:r>
          </w:p>
        </w:tc>
        <w:tc>
          <w:tcPr>
            <w:tcW w:w="686" w:type="dxa"/>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5132" w:type="dxa"/>
            <w:vAlign w:val="center"/>
          </w:tcPr>
          <w:p>
            <w:pPr>
              <w:spacing w:line="240" w:lineRule="auto"/>
              <w:ind w:firstLine="0" w:firstLineChars="0"/>
              <w:rPr>
                <w:rFonts w:cs="Times New Roman"/>
                <w:sz w:val="21"/>
                <w:szCs w:val="21"/>
              </w:rPr>
            </w:pPr>
            <w:r>
              <w:rPr>
                <w:rFonts w:cs="Times New Roman"/>
                <w:sz w:val="21"/>
                <w:szCs w:val="21"/>
                <w:lang w:bidi="ar"/>
              </w:rPr>
              <w:t>拟对青华美食街进行全面改造提升，打造地方特色餐饮地标，带动消费，助力全域旅游。</w:t>
            </w:r>
          </w:p>
        </w:tc>
        <w:tc>
          <w:tcPr>
            <w:tcW w:w="1200"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7" w:type="dxa"/>
            <w:vAlign w:val="center"/>
          </w:tcPr>
          <w:p>
            <w:pPr>
              <w:spacing w:line="240" w:lineRule="auto"/>
              <w:ind w:firstLine="0" w:firstLineChars="0"/>
              <w:jc w:val="center"/>
              <w:rPr>
                <w:rFonts w:cs="Times New Roman"/>
                <w:sz w:val="21"/>
                <w:szCs w:val="21"/>
              </w:rPr>
            </w:pPr>
            <w:r>
              <w:rPr>
                <w:rFonts w:cs="Times New Roman"/>
                <w:sz w:val="21"/>
                <w:szCs w:val="21"/>
                <w:lang w:bidi="ar"/>
              </w:rPr>
              <w:t>3</w:t>
            </w:r>
          </w:p>
        </w:tc>
        <w:tc>
          <w:tcPr>
            <w:tcW w:w="1076" w:type="dxa"/>
            <w:vAlign w:val="center"/>
          </w:tcPr>
          <w:p>
            <w:pPr>
              <w:spacing w:line="240" w:lineRule="auto"/>
              <w:ind w:firstLine="0" w:firstLineChars="0"/>
              <w:jc w:val="center"/>
              <w:rPr>
                <w:rFonts w:cs="Times New Roman"/>
                <w:sz w:val="21"/>
                <w:szCs w:val="21"/>
              </w:rPr>
            </w:pPr>
            <w:r>
              <w:rPr>
                <w:rFonts w:cs="Times New Roman"/>
                <w:sz w:val="21"/>
                <w:szCs w:val="21"/>
                <w:lang w:bidi="ar"/>
              </w:rPr>
              <w:t>荥经县服务业重点品牌建设项目</w:t>
            </w:r>
          </w:p>
        </w:tc>
        <w:tc>
          <w:tcPr>
            <w:tcW w:w="686" w:type="dxa"/>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5132" w:type="dxa"/>
            <w:vAlign w:val="center"/>
          </w:tcPr>
          <w:p>
            <w:pPr>
              <w:spacing w:line="240" w:lineRule="auto"/>
              <w:ind w:firstLine="0" w:firstLineChars="0"/>
              <w:rPr>
                <w:rFonts w:cs="Times New Roman"/>
                <w:sz w:val="21"/>
                <w:szCs w:val="21"/>
              </w:rPr>
            </w:pPr>
            <w:r>
              <w:rPr>
                <w:rFonts w:cs="Times New Roman"/>
                <w:sz w:val="21"/>
                <w:szCs w:val="21"/>
                <w:lang w:bidi="ar"/>
              </w:rPr>
              <w:t>拟对荥经棒棒鸡、挞挞面等地方特色产品进行全面包装推广，形成品牌，提升地方特色产品影响力，拓宽销售渠道，形成地方餐饮体系。</w:t>
            </w:r>
          </w:p>
        </w:tc>
        <w:tc>
          <w:tcPr>
            <w:tcW w:w="1200" w:type="dxa"/>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lang w:bidi="ar"/>
              </w:rPr>
              <w:t>2021-</w:t>
            </w:r>
            <w:r>
              <w:rPr>
                <w:rFonts w:hint="eastAsia" w:cs="Times New Roman"/>
                <w:sz w:val="21"/>
                <w:szCs w:val="21"/>
                <w:lang w:val="en-US" w:eastAsia="zh-CN" w:bidi="ar"/>
              </w:rPr>
              <w:t>2025</w:t>
            </w:r>
          </w:p>
        </w:tc>
      </w:tr>
    </w:tbl>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ascii="Times New Roman" w:hAnsi="Times New Roman" w:cs="Times New Roman"/>
          <w:b w:val="0"/>
          <w:bCs w:val="0"/>
          <w:sz w:val="32"/>
          <w:szCs w:val="32"/>
        </w:rPr>
      </w:pPr>
      <w:bookmarkStart w:id="123" w:name="_Toc1331"/>
      <w:r>
        <w:rPr>
          <w:rFonts w:hint="eastAsia" w:ascii="Times New Roman" w:hAnsi="Times New Roman" w:cs="Times New Roman"/>
          <w:b w:val="0"/>
          <w:bCs w:val="0"/>
          <w:sz w:val="32"/>
          <w:szCs w:val="32"/>
          <w:lang w:val="en-US" w:eastAsia="zh-CN"/>
        </w:rPr>
        <w:t>八、</w:t>
      </w:r>
      <w:r>
        <w:rPr>
          <w:rFonts w:ascii="Times New Roman" w:hAnsi="Times New Roman" w:cs="Times New Roman"/>
          <w:b w:val="0"/>
          <w:bCs w:val="0"/>
          <w:sz w:val="32"/>
          <w:szCs w:val="32"/>
        </w:rPr>
        <w:t>空间布局</w:t>
      </w:r>
      <w:bookmarkEnd w:id="121"/>
      <w:bookmarkEnd w:id="122"/>
      <w:bookmarkEnd w:id="123"/>
    </w:p>
    <w:p>
      <w:pPr>
        <w:keepNext w:val="0"/>
        <w:keepLines w:val="0"/>
        <w:pageBreakBefore w:val="0"/>
        <w:kinsoku/>
        <w:wordWrap/>
        <w:overflowPunct/>
        <w:topLinePunct w:val="0"/>
        <w:autoSpaceDE/>
        <w:autoSpaceDN/>
        <w:bidi w:val="0"/>
        <w:adjustRightInd/>
        <w:snapToGrid/>
        <w:spacing w:beforeAutospacing="0" w:afterAutospacing="0" w:line="576" w:lineRule="exact"/>
        <w:ind w:firstLine="640"/>
        <w:textAlignment w:val="auto"/>
        <w:rPr>
          <w:rFonts w:cs="Times New Roman"/>
          <w:lang w:bidi="ar"/>
        </w:rPr>
      </w:pPr>
      <w:r>
        <w:rPr>
          <w:rFonts w:cs="Times New Roman"/>
          <w:kern w:val="0"/>
          <w:lang w:bidi="ar"/>
        </w:rPr>
        <w:t>遵循荥经县</w:t>
      </w:r>
      <w:r>
        <w:rPr>
          <w:rFonts w:cs="Times New Roman"/>
          <w:lang w:bidi="ar"/>
        </w:rPr>
        <w:t>城市总体规划布局</w:t>
      </w:r>
      <w:r>
        <w:rPr>
          <w:rFonts w:cs="Times New Roman"/>
          <w:kern w:val="0"/>
          <w:lang w:bidi="ar"/>
        </w:rPr>
        <w:t>，结合区位交通优势、资源特色分布和未来发展需要，以抢抓成渝地区双城经济圈建设机遇为契机，规划构建</w:t>
      </w:r>
      <w:r>
        <w:rPr>
          <w:rFonts w:cs="Times New Roman"/>
          <w:b/>
          <w:kern w:val="0"/>
          <w:lang w:bidi="ar"/>
        </w:rPr>
        <w:t>“一城四镇两廊”</w:t>
      </w:r>
      <w:r>
        <w:rPr>
          <w:rFonts w:cs="Times New Roman"/>
          <w:kern w:val="0"/>
          <w:lang w:bidi="ar"/>
        </w:rPr>
        <w:t>的现代服务业空间格局</w:t>
      </w:r>
      <w:r>
        <w:rPr>
          <w:rFonts w:cs="Times New Roman"/>
          <w:lang w:bidi="ar"/>
        </w:rPr>
        <w:t>。即：</w:t>
      </w:r>
      <w:r>
        <w:rPr>
          <w:rFonts w:cs="Times New Roman"/>
          <w:b/>
          <w:kern w:val="0"/>
          <w:lang w:bidi="ar"/>
        </w:rPr>
        <w:t>一城引领发展</w:t>
      </w:r>
      <w:r>
        <w:rPr>
          <w:rFonts w:cs="Times New Roman"/>
          <w:lang w:bidi="ar"/>
        </w:rPr>
        <w:t>——县城引领服务业发展；</w:t>
      </w:r>
      <w:r>
        <w:rPr>
          <w:rFonts w:cs="Times New Roman"/>
          <w:b/>
          <w:kern w:val="0"/>
          <w:lang w:bidi="ar"/>
        </w:rPr>
        <w:t>四镇特色联动</w:t>
      </w:r>
      <w:r>
        <w:rPr>
          <w:rFonts w:cs="Times New Roman"/>
          <w:lang w:bidi="ar"/>
        </w:rPr>
        <w:t>——花滩镇片区、新添镇片区、龙苍沟镇片区、牛背山镇片区；</w:t>
      </w:r>
      <w:r>
        <w:rPr>
          <w:rFonts w:cs="Times New Roman"/>
          <w:b/>
          <w:bCs/>
          <w:lang w:bidi="ar"/>
        </w:rPr>
        <w:t>两廊拓展开放</w:t>
      </w:r>
      <w:r>
        <w:rPr>
          <w:rFonts w:cs="Times New Roman"/>
          <w:lang w:bidi="ar"/>
        </w:rPr>
        <w:t>——东进成渝经济双圈发展廊，西拓康藏协同合作发展廊。</w:t>
      </w:r>
    </w:p>
    <w:p>
      <w:pPr>
        <w:widowControl/>
        <w:spacing w:line="240" w:lineRule="auto"/>
        <w:ind w:firstLine="0" w:firstLineChars="0"/>
      </w:pPr>
      <w:r>
        <w:rPr>
          <w:rFonts w:hint="eastAsia"/>
        </w:rPr>
        <w:drawing>
          <wp:inline distT="0" distB="0" distL="114300" distR="114300">
            <wp:extent cx="5193665" cy="3007995"/>
            <wp:effectExtent l="0" t="0" r="6985" b="1905"/>
            <wp:docPr id="8" name="图片 8" descr="荥经县服务业空间结构0207 [已恢复]-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荥经县服务业空间结构0207 [已恢复]-02"/>
                    <pic:cNvPicPr>
                      <a:picLocks noChangeAspect="true"/>
                    </pic:cNvPicPr>
                  </pic:nvPicPr>
                  <pic:blipFill>
                    <a:blip r:embed="rId12"/>
                    <a:stretch>
                      <a:fillRect/>
                    </a:stretch>
                  </pic:blipFill>
                  <pic:spPr>
                    <a:xfrm>
                      <a:off x="0" y="0"/>
                      <a:ext cx="5193665" cy="3007995"/>
                    </a:xfrm>
                    <a:prstGeom prst="rect">
                      <a:avLst/>
                    </a:prstGeom>
                  </pic:spPr>
                </pic:pic>
              </a:graphicData>
            </a:graphic>
          </wp:inline>
        </w:drawing>
      </w:r>
    </w:p>
    <w:p>
      <w:pPr>
        <w:numPr>
          <w:ilvl w:val="0"/>
          <w:numId w:val="0"/>
        </w:numPr>
        <w:tabs>
          <w:tab w:val="left" w:pos="0"/>
        </w:tabs>
        <w:spacing w:line="240" w:lineRule="auto"/>
        <w:ind w:leftChars="0"/>
        <w:jc w:val="center"/>
        <w:rPr>
          <w:rFonts w:eastAsia="楷体" w:cs="Times New Roman"/>
          <w:b/>
          <w:bCs/>
          <w:sz w:val="21"/>
          <w:szCs w:val="21"/>
        </w:rPr>
      </w:pPr>
      <w:r>
        <w:rPr>
          <w:rFonts w:hint="eastAsia" w:eastAsia="楷体" w:cs="Times New Roman"/>
          <w:b/>
          <w:bCs/>
          <w:sz w:val="21"/>
          <w:szCs w:val="21"/>
          <w:lang w:val="en-US" w:eastAsia="zh-CN" w:bidi="ar"/>
        </w:rPr>
        <w:t xml:space="preserve">图5  </w:t>
      </w:r>
      <w:r>
        <w:rPr>
          <w:rFonts w:eastAsia="楷体" w:cs="Times New Roman"/>
          <w:b/>
          <w:bCs/>
          <w:sz w:val="21"/>
          <w:szCs w:val="21"/>
          <w:lang w:bidi="ar"/>
        </w:rPr>
        <w:t>荥经县“十四五”服务业发展规划空间布局图</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cs="Times New Roman"/>
        </w:rPr>
      </w:pPr>
      <w:bookmarkStart w:id="124" w:name="_Toc5120"/>
      <w:bookmarkStart w:id="125" w:name="_Toc24815"/>
      <w:bookmarkStart w:id="126" w:name="_Toc3675"/>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一</w:t>
      </w:r>
      <w:r>
        <w:rPr>
          <w:rFonts w:hint="eastAsia" w:ascii="楷体_GB2312" w:hAnsi="楷体_GB2312" w:eastAsia="楷体_GB2312" w:cs="楷体_GB2312"/>
          <w:lang w:eastAsia="zh-CN"/>
        </w:rPr>
        <w:t>）</w:t>
      </w:r>
      <w:r>
        <w:rPr>
          <w:rFonts w:hint="eastAsia" w:ascii="楷体_GB2312" w:hAnsi="楷体_GB2312" w:eastAsia="楷体_GB2312" w:cs="楷体_GB2312"/>
        </w:rPr>
        <w:t>一城引领发展</w:t>
      </w:r>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b/>
          <w:kern w:val="0"/>
          <w:lang w:bidi="ar"/>
        </w:rPr>
      </w:pPr>
      <w:r>
        <w:rPr>
          <w:rFonts w:cs="Times New Roman"/>
          <w:b/>
          <w:kern w:val="0"/>
          <w:lang w:bidi="ar"/>
        </w:rPr>
        <w:t>以荥经县城商贸流通集聚区为中心，打造辐射荥经全县的服务业引领发展核心。向东打造宜居新城，</w:t>
      </w:r>
      <w:r>
        <w:rPr>
          <w:rFonts w:cs="Times New Roman"/>
          <w:szCs w:val="32"/>
        </w:rPr>
        <w:t>稳步推进房地产市场，</w:t>
      </w:r>
      <w:r>
        <w:rPr>
          <w:rFonts w:cs="Times New Roman"/>
          <w:b/>
          <w:kern w:val="0"/>
          <w:lang w:bidi="ar"/>
        </w:rPr>
        <w:t>向西打造文教卫产业新城，</w:t>
      </w:r>
      <w:r>
        <w:rPr>
          <w:rFonts w:cs="Times New Roman"/>
          <w:szCs w:val="32"/>
        </w:rPr>
        <w:t>培育文化、教育、医疗产业市场，</w:t>
      </w:r>
      <w:r>
        <w:rPr>
          <w:rFonts w:cs="Times New Roman"/>
          <w:b/>
          <w:kern w:val="0"/>
          <w:lang w:bidi="ar"/>
        </w:rPr>
        <w:t>向南打造商贸新城，</w:t>
      </w:r>
      <w:r>
        <w:rPr>
          <w:rFonts w:cs="Times New Roman"/>
          <w:szCs w:val="32"/>
        </w:rPr>
        <w:t>做强商贸物流企业，形成商贸产业市场，</w:t>
      </w:r>
      <w:r>
        <w:rPr>
          <w:rFonts w:cs="Times New Roman"/>
          <w:b/>
          <w:kern w:val="0"/>
          <w:lang w:bidi="ar"/>
        </w:rPr>
        <w:t>向北打造建材产业新城，</w:t>
      </w:r>
      <w:r>
        <w:rPr>
          <w:rFonts w:cs="Times New Roman"/>
          <w:szCs w:val="32"/>
        </w:rPr>
        <w:t>实施主辅分离，做大生产性服务业市场</w:t>
      </w:r>
      <w:r>
        <w:rPr>
          <w:rFonts w:cs="Times New Roman"/>
          <w:b/>
          <w:kern w:val="0"/>
          <w:lang w:bidi="ar"/>
        </w:rPr>
        <w:t>。</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bCs/>
          <w:kern w:val="0"/>
          <w:lang w:bidi="ar"/>
        </w:rPr>
      </w:pPr>
      <w:r>
        <w:rPr>
          <w:rFonts w:cs="Times New Roman"/>
          <w:bCs/>
          <w:kern w:val="0"/>
          <w:lang w:bidi="ar"/>
        </w:rPr>
        <w:t>发挥荥经县城引领作用，着力推动传统服务业向现代服务业转型升级，发展现代、中高端、绿色、集约型服务业。坚持服务业技术创新、业态创新、模式创新理念。重点发展商业贸易、文化旅游、特色餐饮、电子商务，培育发展现代物流、医疗康养，加快财富中心、鸿林新城、尚品国际、德能新城4大商贸集聚区建设，着力推进中国黑砂文化旅游产业园、荥经电子商务产业园、荥经现代商贸物流园的建设，加强荥经城医疗康养服务能力。</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cs="Times New Roman"/>
        </w:rPr>
      </w:pPr>
      <w:bookmarkStart w:id="127" w:name="_Toc28525"/>
      <w:bookmarkStart w:id="128" w:name="_Toc11257"/>
      <w:bookmarkStart w:id="129" w:name="_Toc24241"/>
      <w:r>
        <w:rPr>
          <w:rFonts w:hint="eastAsia" w:cs="Times New Roman"/>
          <w:lang w:eastAsia="zh-CN"/>
        </w:rPr>
        <w:t>（</w:t>
      </w:r>
      <w:r>
        <w:rPr>
          <w:rFonts w:hint="eastAsia" w:cs="Times New Roman"/>
          <w:lang w:val="en-US" w:eastAsia="zh-CN"/>
        </w:rPr>
        <w:t>二</w:t>
      </w:r>
      <w:r>
        <w:rPr>
          <w:rFonts w:hint="eastAsia" w:cs="Times New Roman"/>
          <w:lang w:eastAsia="zh-CN"/>
        </w:rPr>
        <w:t>）</w:t>
      </w:r>
      <w:r>
        <w:rPr>
          <w:rFonts w:cs="Times New Roman"/>
        </w:rPr>
        <w:t>四镇特色联动</w:t>
      </w:r>
      <w:bookmarkEnd w:id="127"/>
      <w:bookmarkEnd w:id="128"/>
      <w:bookmarkEnd w:id="129"/>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lang w:bidi="ar"/>
        </w:rPr>
      </w:pPr>
      <w:r>
        <w:rPr>
          <w:rFonts w:cs="Times New Roman"/>
          <w:b/>
          <w:szCs w:val="32"/>
          <w:lang w:bidi="ar"/>
        </w:rPr>
        <w:t>花滩镇片区，</w:t>
      </w:r>
      <w:r>
        <w:rPr>
          <w:rFonts w:cs="Times New Roman"/>
          <w:bCs/>
          <w:szCs w:val="32"/>
          <w:lang w:bidi="ar"/>
        </w:rPr>
        <w:t>含花滩镇、荥河镇和安靖乡，以花滩镇为引领，重点发展工厂贸易、乡村旅游，培育发展电子商务、现代物流。利用</w:t>
      </w:r>
      <w:r>
        <w:rPr>
          <w:rFonts w:cs="Times New Roman"/>
          <w:szCs w:val="32"/>
          <w:lang w:bidi="ar"/>
        </w:rPr>
        <w:t>花滩镇工业转型优势</w:t>
      </w:r>
      <w:r>
        <w:rPr>
          <w:rFonts w:cs="Times New Roman"/>
          <w:bCs/>
          <w:szCs w:val="32"/>
          <w:lang w:bidi="ar"/>
        </w:rPr>
        <w:t>打造工贸旅游特色镇</w:t>
      </w:r>
      <w:r>
        <w:rPr>
          <w:rFonts w:cs="Times New Roman"/>
          <w:szCs w:val="32"/>
          <w:lang w:bidi="ar"/>
        </w:rPr>
        <w:t>，以特色农产品市场建设</w:t>
      </w:r>
      <w:r>
        <w:rPr>
          <w:rFonts w:cs="Times New Roman"/>
          <w:b/>
          <w:szCs w:val="32"/>
          <w:lang w:bidi="ar"/>
        </w:rPr>
        <w:t>、</w:t>
      </w:r>
      <w:r>
        <w:rPr>
          <w:rFonts w:cs="Times New Roman"/>
          <w:szCs w:val="32"/>
          <w:lang w:bidi="ar"/>
        </w:rPr>
        <w:t>农旅融合为核心，强化农业生产，完善农产品流通服务，建设田园综合体引入或培育本地品牌餐饮和休闲娱乐业态，打造集田园风光观赏、农旅融合体验为一体的乡村特色旅游。</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lang w:bidi="ar"/>
        </w:rPr>
      </w:pPr>
      <w:r>
        <w:rPr>
          <w:rFonts w:cs="Times New Roman"/>
          <w:b/>
          <w:szCs w:val="32"/>
          <w:lang w:bidi="ar"/>
        </w:rPr>
        <w:t>新添镇片区，</w:t>
      </w:r>
      <w:r>
        <w:rPr>
          <w:rFonts w:cs="Times New Roman"/>
          <w:bCs/>
          <w:szCs w:val="32"/>
          <w:lang w:bidi="ar"/>
        </w:rPr>
        <w:t>含新添镇</w:t>
      </w:r>
      <w:r>
        <w:rPr>
          <w:rFonts w:hint="eastAsia" w:cs="Times New Roman"/>
          <w:bCs/>
          <w:szCs w:val="32"/>
          <w:lang w:bidi="ar"/>
        </w:rPr>
        <w:t>、</w:t>
      </w:r>
      <w:r>
        <w:rPr>
          <w:rFonts w:cs="Times New Roman"/>
          <w:bCs/>
          <w:szCs w:val="32"/>
          <w:lang w:bidi="ar"/>
        </w:rPr>
        <w:t>宝峰乡</w:t>
      </w:r>
      <w:r>
        <w:rPr>
          <w:rFonts w:hint="eastAsia" w:cs="Times New Roman"/>
          <w:bCs/>
          <w:szCs w:val="32"/>
          <w:lang w:bidi="ar"/>
        </w:rPr>
        <w:t>和民建乡</w:t>
      </w:r>
      <w:r>
        <w:rPr>
          <w:rFonts w:cs="Times New Roman"/>
          <w:bCs/>
          <w:szCs w:val="32"/>
          <w:lang w:bidi="ar"/>
        </w:rPr>
        <w:t>，以新添镇为引领，重点发展商业贸易和文化旅游</w:t>
      </w:r>
      <w:r>
        <w:rPr>
          <w:rFonts w:cs="Times New Roman"/>
          <w:szCs w:val="32"/>
          <w:lang w:bidi="ar"/>
        </w:rPr>
        <w:t>。利用新添镇茶马古道驿站文化优势，以</w:t>
      </w:r>
      <w:r>
        <w:rPr>
          <w:rFonts w:cs="Times New Roman"/>
        </w:rPr>
        <w:t>省级现代茶产业园区</w:t>
      </w:r>
      <w:r>
        <w:rPr>
          <w:rFonts w:cs="Times New Roman"/>
          <w:szCs w:val="32"/>
          <w:lang w:bidi="ar"/>
        </w:rPr>
        <w:t>建设、茶叶商贸市场建设为核心，推动茶旅文化特色小镇建设；依托宝峰乡</w:t>
      </w:r>
      <w:r>
        <w:rPr>
          <w:rFonts w:hint="eastAsia" w:cs="Times New Roman"/>
          <w:szCs w:val="32"/>
          <w:lang w:bidi="ar"/>
        </w:rPr>
        <w:t>、民建乡</w:t>
      </w:r>
      <w:r>
        <w:rPr>
          <w:rFonts w:cs="Times New Roman"/>
          <w:szCs w:val="32"/>
          <w:lang w:bidi="ar"/>
        </w:rPr>
        <w:t>族特色文化，以风情彝寨、高山生态有机茶产业基地建设为核心，打造集生态观光、民俗文化体验于一体，独具特色的民俗生态旅游地。</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lang w:bidi="ar"/>
        </w:rPr>
      </w:pPr>
      <w:r>
        <w:rPr>
          <w:rFonts w:cs="Times New Roman"/>
          <w:b/>
          <w:szCs w:val="32"/>
          <w:lang w:bidi="ar"/>
        </w:rPr>
        <w:t>龙苍沟镇片区</w:t>
      </w:r>
      <w:r>
        <w:rPr>
          <w:rFonts w:cs="Times New Roman"/>
          <w:szCs w:val="32"/>
          <w:lang w:bidi="ar"/>
        </w:rPr>
        <w:t>，含龙苍沟镇、青龙镇和五宪镇，以龙苍沟镇为引领，重点发展文化旅游、森林康养。利用龙苍沟镇、青龙镇优质生态资源，依托国家森林公园、大熊猫国家公园南入口建设、凤凰谷、九龙溪、芦岗坪等资源，打造集森林康养、森林度假、文化旅游、自然教育于一体的森林康养、文旅融合示范区。五宪镇重点依托经河度假村，发展荥经南部休闲旅游、乡村旅游。</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szCs w:val="32"/>
          <w:lang w:bidi="ar"/>
        </w:rPr>
      </w:pPr>
      <w:r>
        <w:rPr>
          <w:rFonts w:cs="Times New Roman"/>
          <w:b/>
          <w:szCs w:val="32"/>
          <w:lang w:bidi="ar"/>
        </w:rPr>
        <w:t>牛背山镇片区，</w:t>
      </w:r>
      <w:r>
        <w:rPr>
          <w:rFonts w:cs="Times New Roman"/>
          <w:bCs/>
          <w:szCs w:val="32"/>
          <w:lang w:bidi="ar"/>
        </w:rPr>
        <w:t>含牛背山镇和泗坪乡，以牛背山镇为引领，重点发展文化旅游、森林康养，</w:t>
      </w:r>
      <w:r>
        <w:rPr>
          <w:rFonts w:cs="Times New Roman"/>
          <w:szCs w:val="32"/>
          <w:lang w:bidi="ar"/>
        </w:rPr>
        <w:t>利用牛背山镇日光、夕阳、杜鹃、星空等得天独厚的观光旅游资源，推进牛背山景区建设，围绕打造国际国内高山观光摄影和极限运动胜地，发展高山旅游、运动康养业态。</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cs="Times New Roman"/>
        </w:rPr>
      </w:pPr>
      <w:bookmarkStart w:id="130" w:name="_Toc4889"/>
      <w:bookmarkStart w:id="131" w:name="_Toc24042"/>
      <w:bookmarkStart w:id="132" w:name="_Toc3232"/>
      <w:r>
        <w:rPr>
          <w:rFonts w:hint="eastAsia" w:cs="Times New Roman"/>
          <w:lang w:eastAsia="zh-CN"/>
        </w:rPr>
        <w:t>（</w:t>
      </w:r>
      <w:r>
        <w:rPr>
          <w:rFonts w:hint="eastAsia" w:cs="Times New Roman"/>
          <w:lang w:val="en-US" w:eastAsia="zh-CN"/>
        </w:rPr>
        <w:t>三</w:t>
      </w:r>
      <w:r>
        <w:rPr>
          <w:rFonts w:hint="eastAsia" w:cs="Times New Roman"/>
          <w:lang w:eastAsia="zh-CN"/>
        </w:rPr>
        <w:t>）</w:t>
      </w:r>
      <w:r>
        <w:rPr>
          <w:rFonts w:cs="Times New Roman"/>
        </w:rPr>
        <w:t>两廊拓展开放</w:t>
      </w:r>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lang w:bidi="ar"/>
        </w:rPr>
      </w:pPr>
      <w:r>
        <w:rPr>
          <w:rFonts w:cs="Times New Roman"/>
          <w:lang w:bidi="ar"/>
        </w:rPr>
        <w:t>充分发挥荥经县区位交通优势，依托雅西高速、G108国道、S208省道、S433省道等通道，打造东进成渝经济双圈发展廊，西拓康藏协同合作发展廊，加强对外开放，增强区域合作力度。</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lang w:bidi="ar"/>
        </w:rPr>
      </w:pPr>
      <w:r>
        <w:rPr>
          <w:rFonts w:cs="Times New Roman"/>
          <w:b/>
          <w:bCs/>
          <w:lang w:bidi="ar"/>
        </w:rPr>
        <w:t>东进成渝经济双圈发展廊，</w:t>
      </w:r>
      <w:r>
        <w:rPr>
          <w:rFonts w:cs="Times New Roman"/>
          <w:lang w:bidi="ar"/>
        </w:rPr>
        <w:t>积极融入成渝地区双城经济圈建设，</w:t>
      </w:r>
      <w:r>
        <w:rPr>
          <w:rFonts w:cs="Times New Roman"/>
          <w:b/>
          <w:bCs/>
          <w:lang w:bidi="ar"/>
        </w:rPr>
        <w:t>一是做强“</w:t>
      </w:r>
      <w:r>
        <w:rPr>
          <w:rFonts w:hint="eastAsia" w:cs="Times New Roman"/>
          <w:b/>
          <w:bCs/>
          <w:lang w:bidi="ar"/>
        </w:rPr>
        <w:t>四地一节点</w:t>
      </w:r>
      <w:r>
        <w:rPr>
          <w:rFonts w:cs="Times New Roman"/>
          <w:b/>
          <w:bCs/>
          <w:lang w:bidi="ar"/>
        </w:rPr>
        <w:t>”的战略支撑</w:t>
      </w:r>
      <w:r>
        <w:rPr>
          <w:rFonts w:cs="Times New Roman"/>
          <w:lang w:bidi="ar"/>
        </w:rPr>
        <w:t>，加快建设成渝地区高品质森林康养度假基地，依托1.5小时通勤圈，主动融入成都平原经济区一体化发展，主动承接成都休闲度假功能</w:t>
      </w:r>
      <w:r>
        <w:rPr>
          <w:rFonts w:hint="eastAsia" w:cs="Times New Roman"/>
          <w:lang w:bidi="ar"/>
        </w:rPr>
        <w:t>，打造</w:t>
      </w:r>
      <w:r>
        <w:rPr>
          <w:rFonts w:cs="Times New Roman"/>
          <w:lang w:bidi="ar"/>
        </w:rPr>
        <w:t>以森林康养度假为特色的现代服务业百亿产业</w:t>
      </w:r>
      <w:r>
        <w:rPr>
          <w:rFonts w:hint="eastAsia" w:cs="Times New Roman"/>
          <w:lang w:bidi="ar"/>
        </w:rPr>
        <w:t>，</w:t>
      </w:r>
      <w:r>
        <w:rPr>
          <w:rFonts w:cs="Times New Roman"/>
          <w:lang w:bidi="ar"/>
        </w:rPr>
        <w:t>强化城市、产业功能协作，提升荥经森林康养功能，</w:t>
      </w:r>
      <w:r>
        <w:rPr>
          <w:rFonts w:hint="eastAsia" w:ascii="仿宋_GB2312" w:hAnsi="仿宋_GB2312" w:cs="仿宋_GB2312"/>
          <w:szCs w:val="32"/>
        </w:rPr>
        <w:t>推动文化旅游康养融合发展，喊响“到荥经‘森’呼吸”口号；加快建设成渝地区绿美生活宜居地，牢固树立“绿水青山就是金山银山”的理念，探索经济发展与生态保护良性互动的路子，推动绿色产业、绿色发展制度、绿色生活方式的发展与推广。</w:t>
      </w:r>
      <w:r>
        <w:rPr>
          <w:rFonts w:cs="Times New Roman"/>
          <w:lang w:bidi="ar"/>
        </w:rPr>
        <w:t>建设成渝地区</w:t>
      </w:r>
      <w:r>
        <w:rPr>
          <w:rFonts w:hint="eastAsia" w:cs="Times New Roman"/>
          <w:lang w:bidi="ar"/>
        </w:rPr>
        <w:t>开放</w:t>
      </w:r>
      <w:r>
        <w:rPr>
          <w:rFonts w:cs="Times New Roman"/>
          <w:lang w:bidi="ar"/>
        </w:rPr>
        <w:t>重要节点，</w:t>
      </w:r>
      <w:r>
        <w:rPr>
          <w:rFonts w:hint="eastAsia" w:cs="Times New Roman"/>
          <w:lang w:bidi="ar"/>
        </w:rPr>
        <w:t>积极融入国内大循环和国内国际双循环的发展格局，全力抓好重大基础设施建设，</w:t>
      </w:r>
      <w:r>
        <w:rPr>
          <w:rFonts w:cs="Times New Roman"/>
          <w:lang w:bidi="ar"/>
        </w:rPr>
        <w:t>高标准建设荥经现代商贸物流园区</w:t>
      </w:r>
      <w:r>
        <w:rPr>
          <w:rFonts w:cs="Times New Roman"/>
          <w:color w:val="000000"/>
          <w:szCs w:val="32"/>
        </w:rPr>
        <w:t>。</w:t>
      </w:r>
      <w:r>
        <w:rPr>
          <w:rFonts w:hint="eastAsia" w:cs="Times New Roman"/>
          <w:color w:val="000000"/>
          <w:szCs w:val="32"/>
        </w:rPr>
        <w:t>积极扩大对外开放合作，积极开展产业承接、产品展销、区域合作，构建“成都工作、荥经旅居”双城旅居模式，</w:t>
      </w:r>
      <w:r>
        <w:rPr>
          <w:rFonts w:hint="eastAsia" w:ascii="仿宋_GB2312" w:hAnsi="仿宋_GB2312" w:cs="仿宋_GB2312"/>
          <w:szCs w:val="32"/>
          <w:lang w:val="zh-CN"/>
        </w:rPr>
        <w:t>积极参与“民族团结与协同发展走廊”建设，深化与拉萨城关区、甘孜泸定县等地合作，全面推进森林康养度假产业协同发展。</w:t>
      </w:r>
      <w:r>
        <w:rPr>
          <w:rFonts w:cs="Times New Roman"/>
          <w:b/>
          <w:bCs/>
          <w:lang w:bidi="ar"/>
        </w:rPr>
        <w:t>二是增强服务业对外辐射能力</w:t>
      </w:r>
      <w:r>
        <w:rPr>
          <w:rFonts w:cs="Times New Roman"/>
          <w:lang w:bidi="ar"/>
        </w:rPr>
        <w:t>，一方面，要着力提升全县服务业的品质，成为成渝地区旅游、休闲、康养的目的地。进一步提升完善服务业基础设施建设，积极引进新兴业态，推进商贸购物中心、特色步行街、美食街等商贸载体的建设和提升。围绕四大文旅园区进一步加强旅游基础设施建设，引进各项体验项目及设施，增强游客体验感。完善康养服务功能，打造三大康养服务带，增强康养服务业的多样性和专业度。另一方面，要着力彰显全县服务业的品牌，增强服务业在成渝地区的影响力。突出优势、彰显特色、加强宣传，着力构建荥经特色旅游品牌、森林康养品牌和特色餐饮品牌。推进一批具有彰显度的服务业重点项目建设，为彰显荥经服务业品牌提供支撑和载体。</w:t>
      </w:r>
    </w:p>
    <w:p>
      <w:pPr>
        <w:keepNext w:val="0"/>
        <w:keepLines w:val="0"/>
        <w:pageBreakBefore w:val="0"/>
        <w:widowControl w:val="0"/>
        <w:kinsoku/>
        <w:wordWrap/>
        <w:overflowPunct/>
        <w:topLinePunct w:val="0"/>
        <w:autoSpaceDE/>
        <w:autoSpaceDN/>
        <w:bidi w:val="0"/>
        <w:adjustRightInd/>
        <w:snapToGrid/>
        <w:spacing w:line="576" w:lineRule="exact"/>
        <w:ind w:firstLine="643"/>
        <w:jc w:val="both"/>
        <w:textAlignment w:val="auto"/>
        <w:rPr>
          <w:rFonts w:cs="Times New Roman"/>
        </w:rPr>
      </w:pPr>
      <w:r>
        <w:rPr>
          <w:rFonts w:cs="Times New Roman"/>
          <w:b/>
          <w:bCs/>
          <w:lang w:bidi="ar"/>
        </w:rPr>
        <w:t>西拓康藏协同合作发展廊，</w:t>
      </w:r>
      <w:r>
        <w:rPr>
          <w:rFonts w:cs="Times New Roman"/>
          <w:lang w:bidi="ar"/>
        </w:rPr>
        <w:t>加快推进</w:t>
      </w:r>
      <w:r>
        <w:rPr>
          <w:rFonts w:cs="Times New Roman"/>
          <w:szCs w:val="32"/>
          <w:lang w:bidi="ar"/>
        </w:rPr>
        <w:t>与西藏城关区建立协同发展合作关系，加强在文旅、康养、商贸、物流、人才等方面的互联互通。</w:t>
      </w:r>
      <w:r>
        <w:rPr>
          <w:rFonts w:cs="Times New Roman"/>
          <w:b/>
          <w:bCs/>
          <w:szCs w:val="32"/>
          <w:lang w:bidi="ar"/>
        </w:rPr>
        <w:t>一是加强与康藏的文旅联动</w:t>
      </w:r>
      <w:r>
        <w:rPr>
          <w:rFonts w:cs="Times New Roman"/>
          <w:szCs w:val="32"/>
          <w:lang w:bidi="ar"/>
        </w:rPr>
        <w:t>，交互文旅资源发展，联通川藏茶马古道上多处遗址与景点，共同推出荥经</w:t>
      </w:r>
      <w:r>
        <w:rPr>
          <w:rFonts w:cs="Times New Roman"/>
          <w:lang w:bidi="ar"/>
        </w:rPr>
        <w:t>—</w:t>
      </w:r>
      <w:r>
        <w:rPr>
          <w:rFonts w:cs="Times New Roman"/>
          <w:szCs w:val="32"/>
          <w:lang w:bidi="ar"/>
        </w:rPr>
        <w:t>泸定</w:t>
      </w:r>
      <w:r>
        <w:rPr>
          <w:rFonts w:cs="Times New Roman"/>
          <w:lang w:bidi="ar"/>
        </w:rPr>
        <w:t>—康定—巴塘—昌都—拉萨“茶马古道生态精品旅游环线</w:t>
      </w:r>
      <w:r>
        <w:rPr>
          <w:rFonts w:cs="Times New Roman"/>
          <w:color w:val="000000"/>
          <w:szCs w:val="32"/>
          <w:lang w:bidi="ar"/>
        </w:rPr>
        <w:t>”。</w:t>
      </w:r>
      <w:r>
        <w:rPr>
          <w:rFonts w:cs="Times New Roman"/>
          <w:b/>
          <w:bCs/>
          <w:color w:val="000000"/>
          <w:szCs w:val="32"/>
          <w:lang w:bidi="ar"/>
        </w:rPr>
        <w:t>二是推动与康藏的康养互动</w:t>
      </w:r>
      <w:r>
        <w:rPr>
          <w:rFonts w:cs="Times New Roman"/>
          <w:color w:val="000000"/>
          <w:szCs w:val="32"/>
          <w:lang w:bidi="ar"/>
        </w:rPr>
        <w:t>，推动城关区到荥经建立康养基地</w:t>
      </w:r>
      <w:r>
        <w:rPr>
          <w:rFonts w:cs="Times New Roman"/>
          <w:szCs w:val="32"/>
          <w:lang w:bidi="ar"/>
        </w:rPr>
        <w:t>，在荥经康养基地融入藏茶文化、藏乡民族文化，增强康藏人民对荥经森林康养的亲切感。</w:t>
      </w:r>
      <w:r>
        <w:rPr>
          <w:rFonts w:cs="Times New Roman"/>
          <w:b/>
          <w:bCs/>
          <w:szCs w:val="32"/>
          <w:lang w:bidi="ar"/>
        </w:rPr>
        <w:t>三是增进与康藏的商贸合作</w:t>
      </w:r>
      <w:r>
        <w:rPr>
          <w:rFonts w:cs="Times New Roman"/>
          <w:szCs w:val="32"/>
          <w:lang w:bidi="ar"/>
        </w:rPr>
        <w:t>，推动荥经茶叶、荥经蔬菜等</w:t>
      </w:r>
      <w:r>
        <w:rPr>
          <w:rFonts w:hint="eastAsia" w:cs="Times New Roman"/>
          <w:szCs w:val="32"/>
          <w:lang w:bidi="ar"/>
        </w:rPr>
        <w:t>“</w:t>
      </w:r>
      <w:r>
        <w:rPr>
          <w:rFonts w:cs="Times New Roman"/>
          <w:szCs w:val="32"/>
          <w:lang w:bidi="ar"/>
        </w:rPr>
        <w:t>荥经森</w:t>
      </w:r>
      <w:r>
        <w:rPr>
          <w:rFonts w:hint="eastAsia" w:cs="Times New Roman"/>
          <w:szCs w:val="32"/>
          <w:lang w:bidi="ar"/>
        </w:rPr>
        <w:t>”</w:t>
      </w:r>
      <w:r>
        <w:rPr>
          <w:rFonts w:cs="Times New Roman"/>
          <w:szCs w:val="32"/>
          <w:lang w:bidi="ar"/>
        </w:rPr>
        <w:t>特色农副产品打开西藏市场，</w:t>
      </w:r>
      <w:r>
        <w:rPr>
          <w:rFonts w:eastAsia="仿宋" w:cs="Times New Roman"/>
          <w:szCs w:val="32"/>
        </w:rPr>
        <w:t>打造成渝地区高山高品质茶叶发展示范区、藏茶古法制作技艺研习基地和高山黄金茶核心产地，</w:t>
      </w:r>
      <w:r>
        <w:rPr>
          <w:rFonts w:cs="Times New Roman"/>
          <w:szCs w:val="32"/>
          <w:lang w:bidi="ar"/>
        </w:rPr>
        <w:t>形成</w:t>
      </w:r>
      <w:r>
        <w:rPr>
          <w:rFonts w:hint="eastAsia" w:cs="Times New Roman"/>
          <w:szCs w:val="32"/>
          <w:lang w:bidi="ar"/>
        </w:rPr>
        <w:t>“</w:t>
      </w:r>
      <w:r>
        <w:rPr>
          <w:rFonts w:cs="Times New Roman"/>
          <w:szCs w:val="32"/>
          <w:lang w:bidi="ar"/>
        </w:rPr>
        <w:t>产在荥经，销在西藏，经济增长在荥经</w:t>
      </w:r>
      <w:r>
        <w:rPr>
          <w:rFonts w:hint="eastAsia" w:cs="Times New Roman"/>
          <w:szCs w:val="32"/>
          <w:lang w:bidi="ar"/>
        </w:rPr>
        <w:t>”</w:t>
      </w:r>
      <w:r>
        <w:rPr>
          <w:rFonts w:cs="Times New Roman"/>
          <w:szCs w:val="32"/>
          <w:lang w:bidi="ar"/>
        </w:rPr>
        <w:t>的发展格局。</w:t>
      </w:r>
      <w:r>
        <w:rPr>
          <w:rFonts w:cs="Times New Roman"/>
          <w:b/>
          <w:bCs/>
          <w:szCs w:val="32"/>
          <w:lang w:bidi="ar"/>
        </w:rPr>
        <w:t>四是推动与康藏的物流互通</w:t>
      </w:r>
      <w:r>
        <w:rPr>
          <w:rFonts w:cs="Times New Roman"/>
          <w:szCs w:val="32"/>
          <w:lang w:bidi="ar"/>
        </w:rPr>
        <w:t>，强壮雅安建设进藏物资集散地的机遇，</w:t>
      </w:r>
      <w:r>
        <w:rPr>
          <w:rFonts w:cs="Times New Roman"/>
          <w:szCs w:val="32"/>
        </w:rPr>
        <w:t>推动与川藏物流（旅游）产业园、川滇藏战略物流中心、雅安物流园的互联互通，打造成渝链接川西北、攀西和滇藏地区的物流中转站，</w:t>
      </w:r>
      <w:r>
        <w:rPr>
          <w:rFonts w:cs="Times New Roman"/>
          <w:szCs w:val="32"/>
          <w:lang w:bidi="ar"/>
        </w:rPr>
        <w:t>打造成渝地区向西拓展重要门户。</w:t>
      </w:r>
      <w:r>
        <w:rPr>
          <w:rFonts w:cs="Times New Roman"/>
          <w:b/>
          <w:bCs/>
          <w:szCs w:val="32"/>
          <w:lang w:bidi="ar"/>
        </w:rPr>
        <w:t>五是加强与康藏的人才交流</w:t>
      </w:r>
      <w:r>
        <w:rPr>
          <w:rFonts w:cs="Times New Roman"/>
          <w:szCs w:val="32"/>
          <w:lang w:bidi="ar"/>
        </w:rPr>
        <w:t>，通过积极协同开展引才聚才、加强干部人才交流互动、定期开展优秀人才交流座谈会、推动高校间交流合作等方式，加强西藏的人才培养交流合作。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hint="eastAsia" w:ascii="仿宋_GB2312" w:hAnsi="仿宋_GB2312" w:eastAsia="仿宋_GB2312" w:cs="仿宋_GB2312"/>
        </w:rPr>
      </w:pPr>
      <w:bookmarkStart w:id="133" w:name="_Toc24046"/>
      <w:bookmarkStart w:id="134" w:name="_Toc13424"/>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四</w:t>
      </w:r>
      <w:r>
        <w:rPr>
          <w:rFonts w:hint="eastAsia" w:ascii="仿宋_GB2312" w:hAnsi="仿宋_GB2312" w:eastAsia="仿宋_GB2312" w:cs="仿宋_GB2312"/>
          <w:lang w:eastAsia="zh-CN"/>
        </w:rPr>
        <w:t>）</w:t>
      </w:r>
      <w:r>
        <w:rPr>
          <w:rFonts w:hint="eastAsia" w:ascii="仿宋_GB2312" w:hAnsi="仿宋_GB2312" w:eastAsia="仿宋_GB2312" w:cs="仿宋_GB2312"/>
        </w:rPr>
        <w:t>重点乡镇（街道）发展指引</w:t>
      </w:r>
      <w:bookmarkEnd w:id="133"/>
      <w:bookmarkEnd w:id="134"/>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35" w:name="_Toc15575"/>
      <w:bookmarkStart w:id="136" w:name="_Toc5332"/>
      <w:r>
        <w:rPr>
          <w:rFonts w:hint="eastAsia" w:cs="Times New Roman"/>
          <w:lang w:val="en-US" w:eastAsia="zh-CN"/>
        </w:rPr>
        <w:t>1.</w:t>
      </w:r>
      <w:r>
        <w:rPr>
          <w:rFonts w:cs="Times New Roman"/>
        </w:rPr>
        <w:t>严道街道</w:t>
      </w:r>
      <w:bookmarkEnd w:id="135"/>
      <w:bookmarkEnd w:id="136"/>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发展指引</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rPr>
        <w:t>严道街道为全县服务业重点发展区域，综合发展商业贸易、文化旅游、现代物流、电子商务、医疗</w:t>
      </w:r>
      <w:r>
        <w:rPr>
          <w:rFonts w:cs="Times New Roman"/>
          <w:lang w:eastAsia="zh-Hans"/>
        </w:rPr>
        <w:t>康养</w:t>
      </w:r>
      <w:r>
        <w:rPr>
          <w:rFonts w:cs="Times New Roman"/>
        </w:rPr>
        <w:t>、特色餐饮等服务业。商业贸易业方面，重点打造财富中心、鸿林新城、尚品国际、德能新城四大商业贸易集聚区，建设、提升商贸购物中心、商业步行街、专业市场等商贸载体，积极培育夜间经济业态</w:t>
      </w:r>
      <w:r>
        <w:rPr>
          <w:rFonts w:cs="Times New Roman"/>
          <w:lang w:eastAsia="zh-Hans"/>
        </w:rPr>
        <w:t>。文化旅游方面，</w:t>
      </w:r>
      <w:r>
        <w:rPr>
          <w:rFonts w:cs="Times New Roman"/>
        </w:rPr>
        <w:t>全域</w:t>
      </w:r>
      <w:r>
        <w:rPr>
          <w:rFonts w:cs="Times New Roman"/>
          <w:lang w:eastAsia="zh-Hans"/>
        </w:rPr>
        <w:t>重点打造中国黑砂文化旅游产业园，完善区域内，餐饮、住宿、购物、娱乐等旅游要素供给</w:t>
      </w:r>
      <w:r>
        <w:rPr>
          <w:rFonts w:cs="Times New Roman"/>
        </w:rPr>
        <w:t>，打造集文化旅游、康养度假、特色商业、产业孵化、商贸物流于一体的东方黑砂康养旅游目的地</w:t>
      </w:r>
      <w:r>
        <w:rPr>
          <w:rFonts w:cs="Times New Roman"/>
          <w:lang w:eastAsia="zh-Hans"/>
        </w:rPr>
        <w:t>。现代物流方面，重点打造</w:t>
      </w:r>
      <w:r>
        <w:rPr>
          <w:rFonts w:cs="Times New Roman"/>
        </w:rPr>
        <w:t>荥经</w:t>
      </w:r>
      <w:r>
        <w:rPr>
          <w:rFonts w:cs="Times New Roman"/>
          <w:lang w:eastAsia="zh-Hans"/>
        </w:rPr>
        <w:t>现代商贸物流园区，打造集汽车销售+汽配汽修+建材为一体的荥经现代商贸物流园区</w:t>
      </w:r>
      <w:r>
        <w:rPr>
          <w:rFonts w:cs="Times New Roman"/>
        </w:rPr>
        <w:t>。</w:t>
      </w:r>
      <w:r>
        <w:rPr>
          <w:rFonts w:cs="Times New Roman"/>
          <w:lang w:eastAsia="zh-Hans"/>
        </w:rPr>
        <w:t>电子商务方面，重点建设荥经县电商产业园，推进国家级电子商务进农村建设，提升县域电商覆盖范围。</w:t>
      </w:r>
      <w:r>
        <w:rPr>
          <w:rFonts w:cs="Times New Roman"/>
        </w:rPr>
        <w:t>建设荥经总部经济产业园，对全县总部经济企业进行整合，形成全县总部经济产业集群。</w:t>
      </w:r>
      <w:r>
        <w:rPr>
          <w:rFonts w:cs="Times New Roman"/>
          <w:lang w:eastAsia="zh-Hans"/>
        </w:rPr>
        <w:t>森林康养方面，</w:t>
      </w:r>
      <w:r>
        <w:rPr>
          <w:rFonts w:cs="Times New Roman"/>
        </w:rPr>
        <w:t>积极融入荥经城医养康养产业带，</w:t>
      </w:r>
      <w:r>
        <w:rPr>
          <w:rFonts w:cs="Times New Roman"/>
          <w:lang w:eastAsia="zh-Hans"/>
        </w:rPr>
        <w:t>以医养为主题，重点推进荥经县人民医院、中医院、妇幼保健中心改造提升，引培医养结合机构。</w:t>
      </w:r>
      <w:r>
        <w:rPr>
          <w:rFonts w:cs="Times New Roman"/>
        </w:rPr>
        <w:t>特色餐饮方面，重点打造</w:t>
      </w:r>
      <w:r>
        <w:rPr>
          <w:rFonts w:hint="eastAsia" w:cs="Times New Roman"/>
        </w:rPr>
        <w:t>“一品天下•荥经会客厅”</w:t>
      </w:r>
      <w:r>
        <w:rPr>
          <w:rFonts w:cs="Times New Roman"/>
        </w:rPr>
        <w:t>，打造以特色美食为主，集“吃</w:t>
      </w:r>
      <w:r>
        <w:rPr>
          <w:rFonts w:hint="eastAsia" w:cs="Times New Roman"/>
        </w:rPr>
        <w:t>、</w:t>
      </w:r>
      <w:r>
        <w:rPr>
          <w:rFonts w:cs="Times New Roman"/>
        </w:rPr>
        <w:t>住</w:t>
      </w:r>
      <w:r>
        <w:rPr>
          <w:rFonts w:hint="eastAsia" w:cs="Times New Roman"/>
        </w:rPr>
        <w:t>、</w:t>
      </w:r>
      <w:r>
        <w:rPr>
          <w:rFonts w:cs="Times New Roman"/>
        </w:rPr>
        <w:t>行</w:t>
      </w:r>
      <w:r>
        <w:rPr>
          <w:rFonts w:hint="eastAsia" w:cs="Times New Roman"/>
        </w:rPr>
        <w:t>、</w:t>
      </w:r>
      <w:r>
        <w:rPr>
          <w:rFonts w:cs="Times New Roman"/>
        </w:rPr>
        <w:t>游</w:t>
      </w:r>
      <w:r>
        <w:rPr>
          <w:rFonts w:hint="eastAsia" w:cs="Times New Roman"/>
        </w:rPr>
        <w:t>、</w:t>
      </w:r>
      <w:r>
        <w:rPr>
          <w:rFonts w:cs="Times New Roman"/>
        </w:rPr>
        <w:t>购</w:t>
      </w:r>
      <w:r>
        <w:rPr>
          <w:rFonts w:hint="eastAsia" w:cs="Times New Roman"/>
        </w:rPr>
        <w:t>、</w:t>
      </w:r>
      <w:r>
        <w:rPr>
          <w:rFonts w:cs="Times New Roman"/>
        </w:rPr>
        <w:t>娱</w:t>
      </w:r>
      <w:r>
        <w:rPr>
          <w:rFonts w:hint="eastAsia" w:cs="Times New Roman"/>
        </w:rPr>
        <w:t>、</w:t>
      </w:r>
      <w:r>
        <w:rPr>
          <w:rFonts w:cs="Times New Roman"/>
        </w:rPr>
        <w:t>创意</w:t>
      </w:r>
      <w:r>
        <w:rPr>
          <w:rFonts w:hint="eastAsia" w:cs="Times New Roman"/>
        </w:rPr>
        <w:t>、</w:t>
      </w:r>
      <w:r>
        <w:rPr>
          <w:rFonts w:cs="Times New Roman"/>
        </w:rPr>
        <w:t>体验”等要素的商业文旅风情街。</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2"/>
        <w:numPr>
          <w:ilvl w:val="0"/>
          <w:numId w:val="0"/>
        </w:numPr>
        <w:ind w:leftChars="0"/>
        <w:jc w:val="center"/>
        <w:rPr>
          <w:rFonts w:cs="Times New Roman"/>
        </w:rPr>
      </w:pPr>
      <w:r>
        <w:rPr>
          <w:rFonts w:hint="eastAsia" w:cs="Times New Roman"/>
          <w:lang w:val="en-US" w:eastAsia="zh-CN"/>
        </w:rPr>
        <w:t xml:space="preserve">表9  </w:t>
      </w:r>
      <w:r>
        <w:rPr>
          <w:rFonts w:cs="Times New Roman"/>
          <w:lang w:eastAsia="zh-Hans"/>
        </w:rPr>
        <w:t>严道街道服务业重点项目表</w:t>
      </w:r>
    </w:p>
    <w:tbl>
      <w:tblPr>
        <w:tblStyle w:val="20"/>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80"/>
        <w:gridCol w:w="750"/>
        <w:gridCol w:w="433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4" w:type="dxa"/>
            <w:shd w:val="clear" w:color="auto" w:fill="CFCECE" w:themeFill="background2" w:themeFillShade="E5"/>
            <w:vAlign w:val="center"/>
          </w:tcPr>
          <w:p>
            <w:pPr>
              <w:widowControl/>
              <w:spacing w:line="240" w:lineRule="auto"/>
              <w:ind w:firstLine="0" w:firstLineChars="0"/>
              <w:jc w:val="center"/>
              <w:rPr>
                <w:rFonts w:eastAsia="黑体" w:cs="Times New Roman"/>
                <w:color w:val="000000"/>
                <w:sz w:val="21"/>
                <w:szCs w:val="21"/>
              </w:rPr>
            </w:pPr>
            <w:r>
              <w:rPr>
                <w:rFonts w:eastAsia="黑体" w:cs="Times New Roman"/>
                <w:b/>
                <w:bCs/>
                <w:color w:val="000000"/>
                <w:sz w:val="21"/>
                <w:szCs w:val="21"/>
              </w:rPr>
              <w:t>序号</w:t>
            </w:r>
          </w:p>
        </w:tc>
        <w:tc>
          <w:tcPr>
            <w:tcW w:w="1380" w:type="dxa"/>
            <w:shd w:val="clear" w:color="auto" w:fill="CFCECE" w:themeFill="background2" w:themeFillShade="E5"/>
            <w:vAlign w:val="center"/>
          </w:tcPr>
          <w:p>
            <w:pPr>
              <w:widowControl/>
              <w:spacing w:line="240" w:lineRule="auto"/>
              <w:ind w:firstLine="0" w:firstLineChars="0"/>
              <w:jc w:val="center"/>
              <w:rPr>
                <w:rFonts w:eastAsia="黑体" w:cs="Times New Roman"/>
                <w:color w:val="000000"/>
                <w:sz w:val="21"/>
                <w:szCs w:val="21"/>
              </w:rPr>
            </w:pPr>
            <w:r>
              <w:rPr>
                <w:rFonts w:eastAsia="黑体" w:cs="Times New Roman"/>
                <w:b/>
                <w:bCs/>
                <w:color w:val="000000"/>
                <w:sz w:val="21"/>
                <w:szCs w:val="21"/>
              </w:rPr>
              <w:t>名称</w:t>
            </w:r>
          </w:p>
        </w:tc>
        <w:tc>
          <w:tcPr>
            <w:tcW w:w="750" w:type="dxa"/>
            <w:shd w:val="clear" w:color="auto" w:fill="CFCECE" w:themeFill="background2" w:themeFillShade="E5"/>
            <w:vAlign w:val="center"/>
          </w:tcPr>
          <w:p>
            <w:pPr>
              <w:widowControl/>
              <w:spacing w:line="240" w:lineRule="auto"/>
              <w:ind w:firstLine="0" w:firstLineChars="0"/>
              <w:jc w:val="center"/>
              <w:rPr>
                <w:rFonts w:eastAsia="黑体" w:cs="Times New Roman"/>
                <w:color w:val="000000"/>
                <w:sz w:val="21"/>
                <w:szCs w:val="21"/>
              </w:rPr>
            </w:pPr>
            <w:r>
              <w:rPr>
                <w:rFonts w:eastAsia="黑体" w:cs="Times New Roman"/>
                <w:b/>
                <w:bCs/>
                <w:color w:val="000000"/>
                <w:sz w:val="21"/>
                <w:szCs w:val="21"/>
              </w:rPr>
              <w:t>规划类型</w:t>
            </w:r>
          </w:p>
        </w:tc>
        <w:tc>
          <w:tcPr>
            <w:tcW w:w="4339" w:type="dxa"/>
            <w:shd w:val="clear" w:color="auto" w:fill="CFCECE" w:themeFill="background2" w:themeFillShade="E5"/>
            <w:vAlign w:val="center"/>
          </w:tcPr>
          <w:p>
            <w:pPr>
              <w:widowControl/>
              <w:spacing w:line="240" w:lineRule="auto"/>
              <w:ind w:firstLine="0" w:firstLineChars="0"/>
              <w:jc w:val="center"/>
              <w:rPr>
                <w:rFonts w:eastAsia="黑体" w:cs="Times New Roman"/>
                <w:color w:val="000000"/>
                <w:sz w:val="21"/>
                <w:szCs w:val="21"/>
              </w:rPr>
            </w:pPr>
            <w:r>
              <w:rPr>
                <w:rFonts w:eastAsia="黑体" w:cs="Times New Roman"/>
                <w:b/>
                <w:bCs/>
                <w:color w:val="000000"/>
                <w:sz w:val="21"/>
                <w:szCs w:val="21"/>
              </w:rPr>
              <w:t>主要建设内容</w:t>
            </w:r>
          </w:p>
        </w:tc>
        <w:tc>
          <w:tcPr>
            <w:tcW w:w="1412" w:type="dxa"/>
            <w:shd w:val="clear" w:color="auto" w:fill="CFCECE" w:themeFill="background2" w:themeFillShade="E5"/>
            <w:vAlign w:val="center"/>
          </w:tcPr>
          <w:p>
            <w:pPr>
              <w:widowControl/>
              <w:spacing w:line="240" w:lineRule="auto"/>
              <w:ind w:firstLine="0" w:firstLineChars="0"/>
              <w:jc w:val="center"/>
              <w:rPr>
                <w:rFonts w:eastAsia="黑体" w:cs="Times New Roman"/>
                <w:color w:val="000000"/>
                <w:sz w:val="21"/>
                <w:szCs w:val="21"/>
              </w:rPr>
            </w:pPr>
            <w:r>
              <w:rPr>
                <w:rFonts w:eastAsia="黑体" w:cs="Times New Roman"/>
                <w:b/>
                <w:bCs/>
                <w:color w:val="000000"/>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1</w:t>
            </w:r>
          </w:p>
        </w:tc>
        <w:tc>
          <w:tcPr>
            <w:tcW w:w="1380" w:type="dxa"/>
            <w:vAlign w:val="center"/>
          </w:tcPr>
          <w:p>
            <w:pPr>
              <w:spacing w:line="240" w:lineRule="auto"/>
              <w:ind w:firstLine="0" w:firstLineChars="0"/>
              <w:jc w:val="center"/>
              <w:rPr>
                <w:rFonts w:ascii="Times New Roman" w:hAnsi="Times New Roman" w:eastAsia="仿宋_GB2312" w:cs="Times New Roman"/>
                <w:kern w:val="2"/>
                <w:sz w:val="21"/>
                <w:szCs w:val="21"/>
                <w:lang w:val="en-US" w:eastAsia="zh-CN" w:bidi="ar-SA"/>
              </w:rPr>
            </w:pPr>
            <w:r>
              <w:rPr>
                <w:rFonts w:hint="eastAsia" w:cs="Times New Roman"/>
                <w:sz w:val="21"/>
                <w:szCs w:val="21"/>
              </w:rPr>
              <w:t>严道古城</w:t>
            </w:r>
          </w:p>
        </w:tc>
        <w:tc>
          <w:tcPr>
            <w:tcW w:w="750" w:type="dxa"/>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sz w:val="21"/>
                <w:szCs w:val="21"/>
                <w:lang w:val="en-US" w:eastAsia="zh-CN"/>
              </w:rPr>
              <w:t>新建</w:t>
            </w:r>
          </w:p>
        </w:tc>
        <w:tc>
          <w:tcPr>
            <w:tcW w:w="4339" w:type="dxa"/>
            <w:vAlign w:val="center"/>
          </w:tcPr>
          <w:p>
            <w:pPr>
              <w:spacing w:line="240" w:lineRule="auto"/>
              <w:ind w:firstLine="0" w:firstLineChars="0"/>
              <w:rPr>
                <w:rFonts w:ascii="Times New Roman" w:hAnsi="Times New Roman" w:eastAsia="仿宋_GB2312" w:cs="Times New Roman"/>
                <w:kern w:val="2"/>
                <w:sz w:val="21"/>
                <w:szCs w:val="21"/>
                <w:lang w:val="en-US" w:eastAsia="zh-CN" w:bidi="ar-SA"/>
              </w:rPr>
            </w:pPr>
            <w:r>
              <w:rPr>
                <w:rFonts w:hint="eastAsia" w:cs="Times New Roman"/>
                <w:sz w:val="21"/>
                <w:szCs w:val="21"/>
              </w:rPr>
              <w:t>1.入口景观打造（拟占地约55亩）。规划占地42亩打造景区入口景观，包括特色景观打造、夜景及灯光秀等。规划占地13亩，新建一座游客中心，并将现有停车场改造升级。2.黑砂商业展示街区（拟占地面积约37亩）。规划占地20亩新建黑砂文化长廊，新建仿古商业街1.6万平方米，包含地上及地下建筑面积；配套区域内供排水管网、天网、强弱电网工程；规划占用17亩，新建黑砂实景展示区，规划新建仿古商业街1.3万平方米，包含室外大型黑砂实景展示，特色工艺品小展示空间，特色餐饮等。3.黑砂休闲娱乐区（拟占地面积约24亩）。规划占地24亩，新建休闲街区建筑面积约1.92万平方米。包含休闲业态的KTV、酒吧等，并结合一品天下打造吃喝玩的完整休闲娱乐街区。4.砂境乐居景区（拟占地面积约39亩）。规划占地39亩，配套基础设施及景观设施，打造砂境乐居景区。5.黑砂会馆。将现有民居改造提升为具有黑砂特色的会馆式建筑。</w:t>
            </w:r>
          </w:p>
        </w:tc>
        <w:tc>
          <w:tcPr>
            <w:tcW w:w="1412" w:type="dxa"/>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sz w:val="21"/>
                <w:szCs w:val="21"/>
                <w:lang w:val="en-US" w:eastAsia="zh-CN"/>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hint="eastAsia" w:cs="Times New Roman"/>
                <w:color w:val="000000"/>
                <w:sz w:val="21"/>
                <w:szCs w:val="21"/>
              </w:rPr>
              <w:t>2</w:t>
            </w:r>
          </w:p>
        </w:tc>
        <w:tc>
          <w:tcPr>
            <w:tcW w:w="1380" w:type="dxa"/>
            <w:vAlign w:val="center"/>
          </w:tcPr>
          <w:p>
            <w:pPr>
              <w:spacing w:line="240" w:lineRule="auto"/>
              <w:ind w:firstLine="0" w:firstLineChars="0"/>
              <w:jc w:val="center"/>
              <w:rPr>
                <w:rFonts w:hint="eastAsia" w:ascii="Times New Roman" w:hAnsi="Times New Roman" w:eastAsia="仿宋_GB2312" w:cs="Times New Roman"/>
                <w:kern w:val="2"/>
                <w:sz w:val="21"/>
                <w:szCs w:val="21"/>
                <w:lang w:val="en-US" w:eastAsia="zh-CN" w:bidi="ar-SA"/>
              </w:rPr>
            </w:pPr>
            <w:r>
              <w:rPr>
                <w:rFonts w:hint="eastAsia" w:cs="Times New Roman"/>
                <w:sz w:val="21"/>
                <w:szCs w:val="21"/>
              </w:rPr>
              <w:t>若水古城</w:t>
            </w:r>
          </w:p>
        </w:tc>
        <w:tc>
          <w:tcPr>
            <w:tcW w:w="750" w:type="dxa"/>
            <w:vAlign w:val="center"/>
          </w:tcPr>
          <w:p>
            <w:pPr>
              <w:spacing w:line="240" w:lineRule="auto"/>
              <w:ind w:firstLine="0" w:firstLineChars="0"/>
              <w:jc w:val="center"/>
              <w:rPr>
                <w:rFonts w:hint="eastAsia" w:ascii="Times New Roman" w:hAnsi="Times New Roman" w:eastAsia="仿宋_GB2312" w:cs="Times New Roman"/>
                <w:kern w:val="2"/>
                <w:sz w:val="21"/>
                <w:szCs w:val="21"/>
                <w:lang w:val="en-US" w:eastAsia="zh-CN" w:bidi="ar-SA"/>
              </w:rPr>
            </w:pPr>
            <w:r>
              <w:rPr>
                <w:rFonts w:cs="Times New Roman"/>
                <w:sz w:val="21"/>
                <w:szCs w:val="21"/>
                <w:lang w:bidi="ar"/>
              </w:rPr>
              <w:t>新建</w:t>
            </w:r>
          </w:p>
        </w:tc>
        <w:tc>
          <w:tcPr>
            <w:tcW w:w="4339" w:type="dxa"/>
            <w:vAlign w:val="center"/>
          </w:tcPr>
          <w:p>
            <w:pPr>
              <w:spacing w:line="240" w:lineRule="auto"/>
              <w:ind w:firstLine="0" w:firstLineChars="0"/>
              <w:rPr>
                <w:rFonts w:hint="eastAsia" w:ascii="Times New Roman" w:hAnsi="Times New Roman" w:eastAsia="仿宋_GB2312" w:cs="Times New Roman"/>
                <w:kern w:val="2"/>
                <w:sz w:val="21"/>
                <w:szCs w:val="21"/>
                <w:lang w:val="en-US" w:eastAsia="zh-CN" w:bidi="ar-SA"/>
              </w:rPr>
            </w:pPr>
            <w:r>
              <w:rPr>
                <w:rFonts w:hint="eastAsia" w:cs="Times New Roman"/>
                <w:sz w:val="21"/>
                <w:szCs w:val="21"/>
              </w:rPr>
              <w:t>修建老街商业，占地约60亩，建设地下车库、市政设施，建筑面积约34000平方米</w:t>
            </w:r>
            <w:r>
              <w:rPr>
                <w:rFonts w:hint="eastAsia" w:cs="Times New Roman"/>
                <w:sz w:val="21"/>
                <w:szCs w:val="21"/>
                <w:lang w:eastAsia="zh-CN"/>
              </w:rPr>
              <w:t>。</w:t>
            </w:r>
          </w:p>
        </w:tc>
        <w:tc>
          <w:tcPr>
            <w:tcW w:w="1412" w:type="dxa"/>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sz w:val="21"/>
                <w:szCs w:val="21"/>
                <w:lang w:val="en-US" w:eastAsia="zh-CN"/>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3</w:t>
            </w:r>
          </w:p>
        </w:tc>
        <w:tc>
          <w:tcPr>
            <w:tcW w:w="1380"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荥经现代商贸物流园区建设项目</w:t>
            </w:r>
          </w:p>
        </w:tc>
        <w:tc>
          <w:tcPr>
            <w:tcW w:w="750"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新建</w:t>
            </w:r>
          </w:p>
        </w:tc>
        <w:tc>
          <w:tcPr>
            <w:tcW w:w="4339" w:type="dxa"/>
            <w:vAlign w:val="center"/>
          </w:tcPr>
          <w:p>
            <w:pPr>
              <w:spacing w:line="240" w:lineRule="auto"/>
              <w:ind w:firstLine="0" w:firstLineChars="0"/>
              <w:jc w:val="both"/>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项目拟投资6.5亿元新建集仓储物流、汽车销售、粮油储备等为一体的现代商贸物流园区。</w:t>
            </w:r>
          </w:p>
        </w:tc>
        <w:tc>
          <w:tcPr>
            <w:tcW w:w="1412"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4</w:t>
            </w:r>
          </w:p>
        </w:tc>
        <w:tc>
          <w:tcPr>
            <w:tcW w:w="138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荥经县电商产业园建设</w:t>
            </w:r>
          </w:p>
        </w:tc>
        <w:tc>
          <w:tcPr>
            <w:tcW w:w="75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新建</w:t>
            </w:r>
          </w:p>
        </w:tc>
        <w:tc>
          <w:tcPr>
            <w:tcW w:w="4339" w:type="dxa"/>
            <w:vAlign w:val="center"/>
          </w:tcPr>
          <w:p>
            <w:pPr>
              <w:spacing w:line="240" w:lineRule="auto"/>
              <w:ind w:firstLine="0" w:firstLineChars="0"/>
              <w:jc w:val="both"/>
              <w:rPr>
                <w:rFonts w:cs="Times New Roman"/>
                <w:color w:val="000000"/>
                <w:sz w:val="21"/>
                <w:szCs w:val="21"/>
              </w:rPr>
            </w:pPr>
            <w:r>
              <w:rPr>
                <w:rFonts w:cs="Times New Roman"/>
                <w:color w:val="000000"/>
                <w:sz w:val="21"/>
                <w:szCs w:val="21"/>
              </w:rPr>
              <w:t>推进国家级电子商务进农村建设，提升县域电商覆盖范围。</w:t>
            </w:r>
          </w:p>
        </w:tc>
        <w:tc>
          <w:tcPr>
            <w:tcW w:w="1412"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5</w:t>
            </w:r>
          </w:p>
        </w:tc>
        <w:tc>
          <w:tcPr>
            <w:tcW w:w="138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荥经县总部经济产业园项目</w:t>
            </w:r>
          </w:p>
        </w:tc>
        <w:tc>
          <w:tcPr>
            <w:tcW w:w="75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新建</w:t>
            </w:r>
          </w:p>
        </w:tc>
        <w:tc>
          <w:tcPr>
            <w:tcW w:w="4339" w:type="dxa"/>
            <w:vAlign w:val="center"/>
          </w:tcPr>
          <w:p>
            <w:pPr>
              <w:spacing w:line="240" w:lineRule="auto"/>
              <w:ind w:firstLine="0" w:firstLineChars="0"/>
              <w:jc w:val="both"/>
              <w:rPr>
                <w:rFonts w:cs="Times New Roman"/>
                <w:color w:val="000000"/>
                <w:sz w:val="21"/>
                <w:szCs w:val="21"/>
              </w:rPr>
            </w:pPr>
            <w:r>
              <w:rPr>
                <w:rFonts w:cs="Times New Roman"/>
                <w:color w:val="000000"/>
                <w:sz w:val="21"/>
                <w:szCs w:val="21"/>
              </w:rPr>
              <w:t>项目拟占地50亩，新建总部大楼、交易中心及配套设施，对全县总部经济企业进行整合，形成我县总部经济产业集群。</w:t>
            </w:r>
          </w:p>
        </w:tc>
        <w:tc>
          <w:tcPr>
            <w:tcW w:w="1412"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6</w:t>
            </w:r>
          </w:p>
        </w:tc>
        <w:tc>
          <w:tcPr>
            <w:tcW w:w="138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荥经县商贸会展中心建设项目</w:t>
            </w:r>
          </w:p>
        </w:tc>
        <w:tc>
          <w:tcPr>
            <w:tcW w:w="75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新建</w:t>
            </w:r>
          </w:p>
        </w:tc>
        <w:tc>
          <w:tcPr>
            <w:tcW w:w="4339" w:type="dxa"/>
            <w:vAlign w:val="center"/>
          </w:tcPr>
          <w:p>
            <w:pPr>
              <w:spacing w:line="240" w:lineRule="auto"/>
              <w:ind w:firstLine="0" w:firstLineChars="0"/>
              <w:jc w:val="both"/>
              <w:rPr>
                <w:rFonts w:cs="Times New Roman"/>
                <w:color w:val="000000"/>
                <w:sz w:val="21"/>
                <w:szCs w:val="21"/>
              </w:rPr>
            </w:pPr>
            <w:r>
              <w:rPr>
                <w:rFonts w:cs="Times New Roman"/>
                <w:color w:val="000000"/>
                <w:sz w:val="21"/>
                <w:szCs w:val="21"/>
              </w:rPr>
              <w:t>拟在城区范围内选址建设集会议、产品展销、物资交流、商贸购物等功能为一体的会展中心，打造对外贸易窗口和平台，通过项目建设集聚商家、人气，形成商贸圈。</w:t>
            </w:r>
          </w:p>
        </w:tc>
        <w:tc>
          <w:tcPr>
            <w:tcW w:w="1412"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4" w:type="dxa"/>
            <w:vAlign w:val="center"/>
          </w:tcPr>
          <w:p>
            <w:pPr>
              <w:spacing w:line="240" w:lineRule="auto"/>
              <w:ind w:firstLine="0" w:firstLineChars="0"/>
              <w:jc w:val="center"/>
              <w:rPr>
                <w:rFonts w:ascii="Times New Roman" w:hAnsi="Times New Roman" w:eastAsia="仿宋_GB2312" w:cs="Times New Roman"/>
                <w:color w:val="000000"/>
                <w:kern w:val="2"/>
                <w:sz w:val="21"/>
                <w:szCs w:val="21"/>
                <w:lang w:val="en-US" w:eastAsia="zh-CN" w:bidi="ar-SA"/>
              </w:rPr>
            </w:pPr>
            <w:r>
              <w:rPr>
                <w:rFonts w:cs="Times New Roman"/>
                <w:color w:val="000000"/>
                <w:sz w:val="21"/>
                <w:szCs w:val="21"/>
              </w:rPr>
              <w:t>7</w:t>
            </w:r>
          </w:p>
        </w:tc>
        <w:tc>
          <w:tcPr>
            <w:tcW w:w="138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荥经县美食一条街建设项目</w:t>
            </w:r>
          </w:p>
        </w:tc>
        <w:tc>
          <w:tcPr>
            <w:tcW w:w="75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新建</w:t>
            </w:r>
          </w:p>
        </w:tc>
        <w:tc>
          <w:tcPr>
            <w:tcW w:w="4339" w:type="dxa"/>
            <w:vAlign w:val="center"/>
          </w:tcPr>
          <w:p>
            <w:pPr>
              <w:spacing w:line="240" w:lineRule="auto"/>
              <w:ind w:firstLine="0" w:firstLineChars="0"/>
              <w:jc w:val="both"/>
              <w:rPr>
                <w:rFonts w:cs="Times New Roman"/>
                <w:color w:val="000000"/>
                <w:sz w:val="21"/>
                <w:szCs w:val="21"/>
              </w:rPr>
            </w:pPr>
            <w:r>
              <w:rPr>
                <w:rFonts w:cs="Times New Roman"/>
                <w:color w:val="000000"/>
                <w:sz w:val="21"/>
                <w:szCs w:val="21"/>
              </w:rPr>
              <w:t>拟对青华美食街进行全面改造提升，打造地方特色餐饮地标，带动消费，助力全域旅游。</w:t>
            </w:r>
          </w:p>
        </w:tc>
        <w:tc>
          <w:tcPr>
            <w:tcW w:w="1412"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pPr>
              <w:spacing w:line="240" w:lineRule="auto"/>
              <w:ind w:firstLine="0" w:firstLineChars="0"/>
              <w:jc w:val="center"/>
              <w:rPr>
                <w:rFonts w:hint="eastAsia" w:eastAsia="仿宋_GB2312" w:cs="Times New Roman"/>
                <w:color w:val="000000"/>
                <w:sz w:val="21"/>
                <w:szCs w:val="21"/>
                <w:lang w:val="en-US" w:eastAsia="zh-CN"/>
              </w:rPr>
            </w:pPr>
            <w:r>
              <w:rPr>
                <w:rFonts w:hint="eastAsia" w:cs="Times New Roman"/>
                <w:color w:val="000000"/>
                <w:sz w:val="21"/>
                <w:szCs w:val="21"/>
                <w:lang w:val="en-US" w:eastAsia="zh-CN"/>
              </w:rPr>
              <w:t>8</w:t>
            </w:r>
          </w:p>
        </w:tc>
        <w:tc>
          <w:tcPr>
            <w:tcW w:w="138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荥经县商业步行街建设</w:t>
            </w:r>
          </w:p>
        </w:tc>
        <w:tc>
          <w:tcPr>
            <w:tcW w:w="750"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新建</w:t>
            </w:r>
          </w:p>
        </w:tc>
        <w:tc>
          <w:tcPr>
            <w:tcW w:w="4339" w:type="dxa"/>
            <w:vAlign w:val="center"/>
          </w:tcPr>
          <w:p>
            <w:pPr>
              <w:spacing w:line="240" w:lineRule="auto"/>
              <w:ind w:firstLine="0" w:firstLineChars="0"/>
              <w:jc w:val="both"/>
              <w:rPr>
                <w:rFonts w:cs="Times New Roman"/>
                <w:color w:val="000000"/>
                <w:sz w:val="21"/>
                <w:szCs w:val="21"/>
              </w:rPr>
            </w:pPr>
            <w:r>
              <w:rPr>
                <w:rFonts w:cs="Times New Roman"/>
                <w:color w:val="000000"/>
                <w:sz w:val="21"/>
                <w:szCs w:val="21"/>
              </w:rPr>
              <w:t>拟对鸿林小区商业步行街进行全面改造提升，提升城区基础设施品质，形成商业集群。</w:t>
            </w:r>
          </w:p>
        </w:tc>
        <w:tc>
          <w:tcPr>
            <w:tcW w:w="1412" w:type="dxa"/>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dxa"/>
            <w:vAlign w:val="center"/>
          </w:tcPr>
          <w:p>
            <w:pPr>
              <w:spacing w:line="240" w:lineRule="auto"/>
              <w:ind w:firstLine="0" w:firstLineChars="0"/>
              <w:jc w:val="center"/>
              <w:rPr>
                <w:rFonts w:hint="eastAsia" w:eastAsia="仿宋_GB2312" w:cs="Times New Roman"/>
                <w:color w:val="000000"/>
                <w:sz w:val="21"/>
                <w:szCs w:val="21"/>
                <w:lang w:val="en-US" w:eastAsia="zh-CN"/>
              </w:rPr>
            </w:pPr>
            <w:r>
              <w:rPr>
                <w:rFonts w:hint="eastAsia" w:cs="Times New Roman"/>
                <w:color w:val="000000"/>
                <w:sz w:val="21"/>
                <w:szCs w:val="21"/>
                <w:lang w:val="en-US" w:eastAsia="zh-CN"/>
              </w:rPr>
              <w:t>9</w:t>
            </w:r>
          </w:p>
        </w:tc>
        <w:tc>
          <w:tcPr>
            <w:tcW w:w="1380" w:type="dxa"/>
            <w:vAlign w:val="center"/>
          </w:tcPr>
          <w:p>
            <w:pPr>
              <w:spacing w:line="240" w:lineRule="auto"/>
              <w:ind w:firstLine="0" w:firstLineChars="0"/>
              <w:jc w:val="center"/>
              <w:rPr>
                <w:rFonts w:cs="Times New Roman"/>
                <w:color w:val="000000"/>
                <w:sz w:val="21"/>
                <w:szCs w:val="21"/>
              </w:rPr>
            </w:pPr>
            <w:r>
              <w:rPr>
                <w:rFonts w:cs="Times New Roman"/>
                <w:sz w:val="21"/>
                <w:szCs w:val="21"/>
                <w:lang w:bidi="ar"/>
              </w:rPr>
              <w:t>中国黑砂文化旅游产业园</w:t>
            </w:r>
          </w:p>
        </w:tc>
        <w:tc>
          <w:tcPr>
            <w:tcW w:w="750" w:type="dxa"/>
            <w:vAlign w:val="center"/>
          </w:tcPr>
          <w:p>
            <w:pPr>
              <w:spacing w:line="240" w:lineRule="auto"/>
              <w:ind w:firstLine="0" w:firstLineChars="0"/>
              <w:jc w:val="center"/>
              <w:rPr>
                <w:rFonts w:cs="Times New Roman"/>
                <w:color w:val="000000"/>
                <w:sz w:val="21"/>
                <w:szCs w:val="21"/>
              </w:rPr>
            </w:pPr>
            <w:r>
              <w:rPr>
                <w:rFonts w:cs="Times New Roman"/>
                <w:sz w:val="21"/>
                <w:szCs w:val="21"/>
                <w:lang w:bidi="ar"/>
              </w:rPr>
              <w:t>新建</w:t>
            </w:r>
          </w:p>
        </w:tc>
        <w:tc>
          <w:tcPr>
            <w:tcW w:w="4339" w:type="dxa"/>
            <w:vAlign w:val="center"/>
          </w:tcPr>
          <w:p>
            <w:pPr>
              <w:spacing w:line="240" w:lineRule="auto"/>
              <w:ind w:firstLine="0" w:firstLineChars="0"/>
              <w:jc w:val="center"/>
              <w:rPr>
                <w:rFonts w:cs="Times New Roman"/>
                <w:color w:val="000000"/>
                <w:sz w:val="21"/>
                <w:szCs w:val="21"/>
              </w:rPr>
            </w:pPr>
            <w:r>
              <w:rPr>
                <w:rFonts w:cs="Times New Roman"/>
                <w:sz w:val="21"/>
                <w:szCs w:val="21"/>
                <w:lang w:bidi="ar"/>
              </w:rPr>
              <w:t>项目总占地面积约200亩、总建筑面积85833.74㎡。建设内容包含黑砂古城(黑砂古城文化体验区)及配套基础设施建设、旅游集散地及游客服务中心及配套设施建设、室外停车场工程。</w:t>
            </w:r>
          </w:p>
        </w:tc>
        <w:tc>
          <w:tcPr>
            <w:tcW w:w="1412" w:type="dxa"/>
            <w:vAlign w:val="center"/>
          </w:tcPr>
          <w:p>
            <w:pPr>
              <w:spacing w:line="240" w:lineRule="auto"/>
              <w:ind w:firstLine="0" w:firstLineChars="0"/>
              <w:jc w:val="center"/>
              <w:rPr>
                <w:rFonts w:cs="Times New Roman"/>
                <w:color w:val="000000"/>
                <w:sz w:val="21"/>
                <w:szCs w:val="21"/>
              </w:rPr>
            </w:pPr>
            <w:r>
              <w:rPr>
                <w:rFonts w:cs="Times New Roman"/>
                <w:sz w:val="21"/>
                <w:szCs w:val="21"/>
                <w:lang w:bidi="ar"/>
              </w:rPr>
              <w:t>2022-2027</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37" w:name="_Toc9739"/>
      <w:bookmarkStart w:id="138" w:name="_Toc16167"/>
      <w:r>
        <w:rPr>
          <w:rFonts w:hint="eastAsia" w:cs="Times New Roman"/>
          <w:lang w:val="en-US" w:eastAsia="zh-CN"/>
        </w:rPr>
        <w:t>2.</w:t>
      </w:r>
      <w:r>
        <w:rPr>
          <w:rFonts w:cs="Times New Roman"/>
        </w:rPr>
        <w:t>龙苍沟镇</w:t>
      </w:r>
      <w:bookmarkEnd w:id="137"/>
      <w:bookmarkEnd w:id="138"/>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发展指引</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rPr>
        <w:t>依托</w:t>
      </w:r>
      <w:r>
        <w:rPr>
          <w:rFonts w:cs="Times New Roman"/>
          <w:szCs w:val="32"/>
          <w:lang w:bidi="ar"/>
        </w:rPr>
        <w:t>国家森林公园、大熊猫国家公园南入口等优质生态旅游资源，</w:t>
      </w:r>
      <w:r>
        <w:rPr>
          <w:rFonts w:cs="Times New Roman"/>
          <w:lang w:eastAsia="zh-Hans"/>
        </w:rPr>
        <w:t>龙苍沟镇</w:t>
      </w:r>
      <w:r>
        <w:rPr>
          <w:rFonts w:cs="Times New Roman"/>
        </w:rPr>
        <w:t>重点发展文化旅游、森林康养</w:t>
      </w:r>
      <w:r>
        <w:rPr>
          <w:rFonts w:cs="Times New Roman"/>
          <w:lang w:eastAsia="zh-Hans"/>
        </w:rPr>
        <w:t>等服务业。</w:t>
      </w:r>
      <w:r>
        <w:rPr>
          <w:rFonts w:cs="Times New Roman"/>
          <w:szCs w:val="32"/>
        </w:rPr>
        <w:t>文化旅游方面，重点打造大相岭大熊猫国家公园产业园，推动大熊猫国家公园南入口社区、大小石坝野奢森林体验康养园、师家沟温泉康养度假产业园、龙苍沟特色小镇文创旅游产业园、自然生态教育基地文旅产业园、熊猫森林探索学院及生态体验教育场馆建设；森林康养方面，依托龙苍沟森林康养产业园，以疗养为主题，打造龙苍沟森林康养产业带，重点推进龙苍沟森林康养小镇建设，推动余家坝世外公园、周坪熊猫民宿乡村旅游产业园、桌山国际森林康养度假产业园建设。</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2"/>
        <w:numPr>
          <w:ilvl w:val="0"/>
          <w:numId w:val="0"/>
        </w:numPr>
        <w:ind w:leftChars="0"/>
        <w:jc w:val="center"/>
        <w:rPr>
          <w:rFonts w:cs="Times New Roman"/>
        </w:rPr>
      </w:pPr>
      <w:r>
        <w:rPr>
          <w:rFonts w:hint="eastAsia" w:cs="Times New Roman"/>
          <w:lang w:val="en-US" w:eastAsia="zh-CN"/>
        </w:rPr>
        <w:t xml:space="preserve">表10  </w:t>
      </w:r>
      <w:r>
        <w:rPr>
          <w:rFonts w:cs="Times New Roman"/>
        </w:rPr>
        <w:t>龙苍沟镇服务业重点项目表</w:t>
      </w:r>
    </w:p>
    <w:tbl>
      <w:tblPr>
        <w:tblStyle w:val="20"/>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33"/>
        <w:gridCol w:w="725"/>
        <w:gridCol w:w="4083"/>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blHeader/>
          <w:jc w:val="center"/>
        </w:trPr>
        <w:tc>
          <w:tcPr>
            <w:tcW w:w="694"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序号</w:t>
            </w:r>
          </w:p>
        </w:tc>
        <w:tc>
          <w:tcPr>
            <w:tcW w:w="1533"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72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4083"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306"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533" w:type="dxa"/>
            <w:vAlign w:val="center"/>
          </w:tcPr>
          <w:p>
            <w:pPr>
              <w:widowControl/>
              <w:spacing w:line="240" w:lineRule="auto"/>
              <w:ind w:firstLine="0" w:firstLineChars="0"/>
              <w:jc w:val="center"/>
              <w:rPr>
                <w:rFonts w:cs="Times New Roman"/>
                <w:color w:val="000000"/>
                <w:sz w:val="21"/>
                <w:szCs w:val="21"/>
                <w:lang w:bidi="ar"/>
              </w:rPr>
            </w:pPr>
            <w:r>
              <w:rPr>
                <w:rFonts w:cs="Times New Roman"/>
                <w:color w:val="000000"/>
                <w:sz w:val="21"/>
                <w:szCs w:val="21"/>
                <w:lang w:bidi="ar"/>
              </w:rPr>
              <w:t>龙苍沟发展村旅游度假区阳坪片区森林康养旅游项目（原清风雅雨小镇项目）</w:t>
            </w:r>
          </w:p>
        </w:tc>
        <w:tc>
          <w:tcPr>
            <w:tcW w:w="725"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lang w:bidi="ar"/>
              </w:rPr>
            </w:pPr>
            <w:r>
              <w:rPr>
                <w:rFonts w:cs="Times New Roman"/>
                <w:color w:val="000000"/>
                <w:sz w:val="21"/>
                <w:szCs w:val="21"/>
                <w:lang w:bidi="ar"/>
              </w:rPr>
              <w:t>计划用地面积470亩，建筑面积约62万平方米。建设森林主题住宿区、生态客栈、旅游商品展示区、游客接待中心、自驾车营地、演出中心、停车场、科教、文化等设施</w:t>
            </w:r>
            <w:r>
              <w:rPr>
                <w:rFonts w:hint="eastAsia" w:cs="Times New Roman"/>
                <w:color w:val="000000"/>
                <w:sz w:val="21"/>
                <w:szCs w:val="21"/>
                <w:lang w:bidi="ar"/>
              </w:rPr>
              <w:t>。</w:t>
            </w:r>
          </w:p>
        </w:tc>
        <w:tc>
          <w:tcPr>
            <w:tcW w:w="1306" w:type="dxa"/>
            <w:vAlign w:val="center"/>
          </w:tcPr>
          <w:p>
            <w:pPr>
              <w:widowControl/>
              <w:spacing w:line="240" w:lineRule="auto"/>
              <w:ind w:firstLine="0" w:firstLineChars="0"/>
              <w:jc w:val="center"/>
              <w:rPr>
                <w:rFonts w:cs="Times New Roman"/>
                <w:color w:val="000000"/>
                <w:sz w:val="21"/>
                <w:szCs w:val="21"/>
                <w:lang w:bidi="ar"/>
              </w:rPr>
            </w:pPr>
            <w:r>
              <w:rPr>
                <w:rFonts w:cs="Times New Roman"/>
                <w:color w:val="000000"/>
                <w:sz w:val="21"/>
                <w:szCs w:val="21"/>
                <w:lang w:bidi="ar"/>
              </w:rPr>
              <w:t>2019-2025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1533" w:type="dxa"/>
            <w:vAlign w:val="center"/>
          </w:tcPr>
          <w:p>
            <w:pPr>
              <w:spacing w:line="240" w:lineRule="auto"/>
              <w:ind w:firstLine="0" w:firstLineChars="0"/>
              <w:jc w:val="center"/>
              <w:rPr>
                <w:rFonts w:cs="Times New Roman"/>
                <w:color w:val="000000"/>
                <w:sz w:val="21"/>
                <w:szCs w:val="21"/>
                <w:lang w:bidi="ar"/>
              </w:rPr>
            </w:pPr>
            <w:r>
              <w:rPr>
                <w:rFonts w:cs="Times New Roman"/>
                <w:sz w:val="21"/>
                <w:szCs w:val="21"/>
              </w:rPr>
              <w:t>荥经县龙苍沟熊猫温泉疗养基地项目</w:t>
            </w:r>
          </w:p>
        </w:tc>
        <w:tc>
          <w:tcPr>
            <w:tcW w:w="725" w:type="dxa"/>
            <w:vAlign w:val="center"/>
          </w:tcPr>
          <w:p>
            <w:pPr>
              <w:spacing w:line="240" w:lineRule="auto"/>
              <w:ind w:firstLine="0" w:firstLineChars="0"/>
              <w:jc w:val="center"/>
              <w:rPr>
                <w:rFonts w:cs="Times New Roman"/>
                <w:color w:val="000000"/>
                <w:sz w:val="21"/>
                <w:szCs w:val="21"/>
                <w:lang w:bidi="ar"/>
              </w:rPr>
            </w:pPr>
            <w:r>
              <w:rPr>
                <w:rFonts w:cs="Times New Roman"/>
                <w:sz w:val="21"/>
                <w:szCs w:val="21"/>
              </w:rPr>
              <w:t>新建</w:t>
            </w:r>
          </w:p>
        </w:tc>
        <w:tc>
          <w:tcPr>
            <w:tcW w:w="4083" w:type="dxa"/>
            <w:vAlign w:val="center"/>
          </w:tcPr>
          <w:p>
            <w:pPr>
              <w:spacing w:line="240" w:lineRule="auto"/>
              <w:ind w:firstLine="0" w:firstLineChars="0"/>
              <w:rPr>
                <w:rFonts w:cs="Times New Roman"/>
                <w:color w:val="000000"/>
                <w:sz w:val="21"/>
                <w:szCs w:val="21"/>
                <w:lang w:bidi="ar"/>
              </w:rPr>
            </w:pPr>
            <w:r>
              <w:rPr>
                <w:rFonts w:cs="Times New Roman"/>
                <w:sz w:val="21"/>
                <w:szCs w:val="21"/>
              </w:rPr>
              <w:t>规划占地8万平方米，总建筑面积4.3万平方米，利用高山温泉，打造高端森林养身之地，配套建设温泉疗养基地、星级宾馆会所，建设生态度假旅游胜地。</w:t>
            </w:r>
          </w:p>
        </w:tc>
        <w:tc>
          <w:tcPr>
            <w:tcW w:w="1306" w:type="dxa"/>
            <w:vAlign w:val="center"/>
          </w:tcPr>
          <w:p>
            <w:pPr>
              <w:spacing w:line="240" w:lineRule="auto"/>
              <w:ind w:firstLine="0" w:firstLineChars="0"/>
              <w:jc w:val="center"/>
              <w:rPr>
                <w:rFonts w:cs="Times New Roman"/>
                <w:color w:val="000000"/>
                <w:sz w:val="21"/>
                <w:szCs w:val="21"/>
                <w:lang w:bidi="ar"/>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3</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荥经县龙苍沟熊猫温泉商务酒店建设项目</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项目总投资2亿元，其中固定资产投资7000万元。项目占地面积20亩，其中房建面积6000</w:t>
            </w:r>
            <w:r>
              <w:rPr>
                <w:rFonts w:cs="Times New Roman"/>
                <w:sz w:val="21"/>
                <w:szCs w:val="21"/>
                <w:lang w:bidi="ar"/>
              </w:rPr>
              <w:t>㎡</w:t>
            </w:r>
            <w:r>
              <w:rPr>
                <w:rFonts w:cs="Times New Roman"/>
                <w:color w:val="000000"/>
                <w:sz w:val="21"/>
                <w:szCs w:val="21"/>
                <w:lang w:bidi="ar"/>
              </w:rPr>
              <w:t>，主要建设酒店主楼、餐厅、会客厅、厨房、观景台、休闲厅、人工温泉。项目主打熊猫元素，立足区位发展优势，结合熊猫民宿村特色，打造高端星级酒店品牌。</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4</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荥经县周坪熊猫民宿乡村旅游产业园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续建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以“熊猫世界•美好家园”为主题，打造“滋润龙苍沟•大熊猫公园”，打造旅游集散、民俗展示、休闲度假等功能为一体的“特色民宿聚落”，推动乡村振兴示范建成一个能探索大熊猫国家公园荥经公园+居民的文化、乡村、生态休闲、康养为主的国际国内知名乡村旅游产业园区。</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5</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荥经县余家坝原始野奢世外公园开发项目</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该区域位于我镇发展村12组，属于国有林区，生态环境优美，地势相对平缓，远离城市喧嚣。规划开发打造范围约2300余亩，根据旅游承载测算，点状供地约550亩左右，打造国际知名的森林康养野奢旅居区，以熊猫和森林为元素，重点把鸽子花作为主题，充分尊重自然及隐私配套以森林野奢康养房产、商业、医疗、商务、会务、论坛为一体的综合性康养旅游度假区。</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2022-2028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6</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荥经县龙苍沟镇瓦屋金山旅游度假区项目</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项目总投资15亿元，利用金山组原始的自然生态环境，结合旅游开发，建设旅游度假区。项目占地面积500亩，实施商业服务开发，规划配套建设自驾车房车营地、红叶彩林观鸟摄影体验区、生态科普教育基地，以生态环境保护和可持续发展为主，建设多元化生态度假旅游胜地。</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2023-2028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7</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荥经县桌山国际森林康养度假产业园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续建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总投资36亿元，布局项目23个,重点建设清风雅雨小镇和配套云上方舟景区，通过索道工程和小镇内部黑石公园、花湖公园的配套，带动康养房产开发40万平方米，度假商业开发16万平方米，业务运行用房5万平方米，打造中国桌山森林康养国际旅游度假区，预计2021年具备接待能力。</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2019-2027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8</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荥经县国家森林公园观光旅居产业园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总投资12亿元，布局项目8个，依托叠翠溪景区，实施森林体验康养为主的宁静谷开发，重点打造森林运动、康养旅居、丛林探险、自然教育等内容的康养旅游度假胜地。</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2017-2025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9</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荥经县大小石坝野奢森林体验康养园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发展村大小石坝生态体验性度假区。该区域位于大熊猫国家公园边缘地带，生态环境优美，规划开发打造范围约1300余亩，根据旅游承载测算，点状供地约360亩建设用地，打造成为集康养、疗养、生态体验、森林研学的重要旅游目的地，需要下一步国土空间规划予以保障和考虑。</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2021-2026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荥经县自然生态教育基地文旅产业园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依托龙苍沟原始森林和全省自然教育基地，在森林公园内建设以自然教育和研学旅游为主的森林文旅旅游产业园区。同时，围绕熊猫文化建设大熊猫疗养和仿驯场、熊猫医院、科研机构等配套设施，打造一个国际性大熊猫科普、研学自然教育基地。</w:t>
            </w:r>
          </w:p>
        </w:tc>
        <w:tc>
          <w:tcPr>
            <w:tcW w:w="1306"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荥经县师家沟温泉康养度假产业园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第一期依托快乐村席草池旅游度假，该区域离集镇区仅3.5公里，位于熊猫温泉小镇和熊猫民宿村之间，区位优势好，中转承载能力强。建成后将为大熊猫国家公园“一线五点”再增加一个特色点，区域规划开发范围300余亩，拟点状布局建设用地120亩，重点推动房车营地、森林野奢、高端民宿和重要的娱乐服务设施。第二期结合师家沟温泉开发，以疗养、康养和金船银船湿地、高山瀑布群体验为主的综合性旅游度假区。</w:t>
            </w:r>
          </w:p>
        </w:tc>
        <w:tc>
          <w:tcPr>
            <w:tcW w:w="1306"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2022-2028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533"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荥经县龙苍沟白井沟冷水鱼农旅融合养生度假产业园</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续建</w:t>
            </w:r>
          </w:p>
        </w:tc>
        <w:tc>
          <w:tcPr>
            <w:tcW w:w="4083"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位于我镇北部区域，白井沟水质好，非常适合鲟鳇鱼、雅鱼等冷水鱼养殖，配合熊猫温泉小镇和森林旅游开发，配套旅游度假项目，规划布局旅游点位三处，分别是现大树组原桃子坪煤厂处，规划发展鲟鳇鱼等冷水鱼养殖，实施范围约260余亩，布局建设用地80余亩，配套农旅融合体验式民宿集群；平安矿业处，通过矿山开采盘活土地约160余亩，布局建设用地45亩左右，打造森林野奢民宿集群和房车营地；现雅鱼庄位置，规划打造全雅安最大的生态雅鱼养殖基地，实施范围300余亩，规划布局建设用地120亩，配套农旅融合体验式民宿集群、野奢度假区。</w:t>
            </w:r>
          </w:p>
        </w:tc>
        <w:tc>
          <w:tcPr>
            <w:tcW w:w="1306"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经河康疗养生保健中心</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083" w:type="dxa"/>
            <w:vAlign w:val="center"/>
          </w:tcPr>
          <w:p>
            <w:pPr>
              <w:spacing w:line="240" w:lineRule="auto"/>
              <w:ind w:firstLine="0" w:firstLineChars="0"/>
              <w:rPr>
                <w:rFonts w:cs="Times New Roman"/>
                <w:sz w:val="21"/>
                <w:szCs w:val="21"/>
              </w:rPr>
            </w:pPr>
            <w:r>
              <w:rPr>
                <w:rFonts w:cs="Times New Roman"/>
                <w:sz w:val="21"/>
                <w:szCs w:val="21"/>
              </w:rPr>
              <w:t>项目位于龙苍沟镇经河村，占地面积15万平方米，建筑面积1.5万平方米，开发建设集疗养、垂钓、养老会所等于一体的康疗养生保健中心。</w:t>
            </w:r>
          </w:p>
        </w:tc>
        <w:tc>
          <w:tcPr>
            <w:tcW w:w="1306"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熊猫森林国际探索学校（营地）二期项目</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083" w:type="dxa"/>
            <w:vAlign w:val="center"/>
          </w:tcPr>
          <w:p>
            <w:pPr>
              <w:spacing w:line="240" w:lineRule="auto"/>
              <w:ind w:firstLine="0" w:firstLineChars="0"/>
              <w:rPr>
                <w:rFonts w:cs="Times New Roman"/>
                <w:sz w:val="21"/>
                <w:szCs w:val="21"/>
              </w:rPr>
            </w:pPr>
            <w:r>
              <w:rPr>
                <w:rFonts w:cs="Times New Roman"/>
                <w:sz w:val="21"/>
                <w:szCs w:val="21"/>
              </w:rPr>
              <w:t>在专门划定的自然教育区域内，搭建占地1500㎡的装配式营地。按照国际营地标准配套设施设备，满足超过120人接待容纳量，并在大熊猫国家公园的科普区内开辟自然科普、科考线路，放置和搭建自然体验工坊15个，自然观察站若干、森林文创空间等项目载体，最终把熊猫森林国际探索学校打造成国内一流的自然教育主题研学营地。</w:t>
            </w:r>
          </w:p>
        </w:tc>
        <w:tc>
          <w:tcPr>
            <w:tcW w:w="1306"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大熊猫科普馆及生态体验教育场馆建设项目</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083" w:type="dxa"/>
            <w:vAlign w:val="center"/>
          </w:tcPr>
          <w:p>
            <w:pPr>
              <w:spacing w:line="240" w:lineRule="auto"/>
              <w:ind w:firstLine="0" w:firstLineChars="0"/>
              <w:rPr>
                <w:rFonts w:cs="Times New Roman"/>
                <w:sz w:val="21"/>
                <w:szCs w:val="21"/>
              </w:rPr>
            </w:pPr>
            <w:r>
              <w:rPr>
                <w:rFonts w:cs="Times New Roman"/>
                <w:sz w:val="21"/>
                <w:szCs w:val="21"/>
              </w:rPr>
              <w:t>龙苍沟大熊猫科普生态体验馆总规划占地面积约19000平方米。项目建设内容包括游客接待中心、以大熊猫文化为主题修建大熊猫科普教育馆3000平方米，并对其进行布展，以及配套相关的水、电、停车场等基础设施建设；修建大熊猫兽舍1000平方米、室外运动场14000平方米和相关配套设施600平方米。</w:t>
            </w:r>
          </w:p>
        </w:tc>
        <w:tc>
          <w:tcPr>
            <w:tcW w:w="1306"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533" w:type="dxa"/>
            <w:vAlign w:val="center"/>
          </w:tcPr>
          <w:p>
            <w:pPr>
              <w:widowControl/>
              <w:spacing w:line="240" w:lineRule="auto"/>
              <w:ind w:firstLine="0" w:firstLineChars="0"/>
              <w:jc w:val="center"/>
              <w:rPr>
                <w:rFonts w:cs="Times New Roman"/>
                <w:color w:val="000000"/>
                <w:sz w:val="21"/>
                <w:szCs w:val="21"/>
                <w:lang w:bidi="ar"/>
              </w:rPr>
            </w:pPr>
            <w:r>
              <w:rPr>
                <w:rFonts w:cs="Times New Roman"/>
                <w:color w:val="000000"/>
                <w:sz w:val="21"/>
                <w:szCs w:val="21"/>
                <w:lang w:bidi="ar"/>
              </w:rPr>
              <w:t>龙苍沟叠翠溪二期</w:t>
            </w:r>
          </w:p>
        </w:tc>
        <w:tc>
          <w:tcPr>
            <w:tcW w:w="725" w:type="dxa"/>
            <w:vAlign w:val="center"/>
          </w:tcPr>
          <w:p>
            <w:pPr>
              <w:widowControl/>
              <w:spacing w:line="240" w:lineRule="auto"/>
              <w:ind w:firstLine="0" w:firstLineChars="0"/>
              <w:jc w:val="center"/>
              <w:rPr>
                <w:rFonts w:cs="Times New Roman"/>
                <w:sz w:val="21"/>
                <w:szCs w:val="21"/>
                <w:lang w:bidi="ar"/>
              </w:rPr>
            </w:pPr>
            <w:r>
              <w:rPr>
                <w:rFonts w:cs="Times New Roman"/>
                <w:color w:val="000000"/>
                <w:sz w:val="21"/>
                <w:szCs w:val="21"/>
                <w:lang w:bidi="ar"/>
              </w:rPr>
              <w:t>新建</w:t>
            </w:r>
          </w:p>
        </w:tc>
        <w:tc>
          <w:tcPr>
            <w:tcW w:w="4083" w:type="dxa"/>
            <w:vAlign w:val="center"/>
          </w:tcPr>
          <w:p>
            <w:pPr>
              <w:widowControl/>
              <w:spacing w:line="240" w:lineRule="auto"/>
              <w:ind w:firstLine="0" w:firstLineChars="0"/>
              <w:rPr>
                <w:rFonts w:cs="Times New Roman"/>
                <w:sz w:val="21"/>
                <w:szCs w:val="21"/>
                <w:lang w:bidi="ar"/>
              </w:rPr>
            </w:pPr>
            <w:r>
              <w:rPr>
                <w:rFonts w:cs="Times New Roman"/>
                <w:color w:val="000000"/>
                <w:sz w:val="21"/>
                <w:szCs w:val="21"/>
                <w:lang w:bidi="ar"/>
              </w:rPr>
              <w:t>康养社区主要建设项目，规划用地面积38113m</w:t>
            </w:r>
            <w:r>
              <w:rPr>
                <w:rFonts w:cs="Times New Roman"/>
                <w:sz w:val="21"/>
                <w:szCs w:val="21"/>
                <w:lang w:bidi="ar"/>
              </w:rPr>
              <w:t>²</w:t>
            </w:r>
            <w:r>
              <w:rPr>
                <w:rFonts w:cs="Times New Roman"/>
                <w:color w:val="000000"/>
                <w:sz w:val="21"/>
                <w:szCs w:val="21"/>
                <w:lang w:bidi="ar"/>
              </w:rPr>
              <w:t>，建筑密度28.22%，绿化率大于50%，主要建设：1.体检中心及医院；2.抗衰老疗养公园；3.都市人群健康馆；4.酒店公寓；5.会议中心等。丛林飞跃项目占地300亩，主要建设1.丛林过山车；2.游戏塔；3.溜索等山地运动项目等</w:t>
            </w:r>
            <w:r>
              <w:rPr>
                <w:rFonts w:hint="eastAsia" w:cs="Times New Roman"/>
                <w:color w:val="000000"/>
                <w:sz w:val="21"/>
                <w:szCs w:val="21"/>
                <w:lang w:bidi="ar"/>
              </w:rPr>
              <w:t>。</w:t>
            </w:r>
          </w:p>
        </w:tc>
        <w:tc>
          <w:tcPr>
            <w:tcW w:w="1306" w:type="dxa"/>
            <w:vAlign w:val="center"/>
          </w:tcPr>
          <w:p>
            <w:pPr>
              <w:widowControl/>
              <w:spacing w:line="240" w:lineRule="auto"/>
              <w:ind w:firstLine="0" w:firstLineChars="0"/>
              <w:jc w:val="center"/>
              <w:rPr>
                <w:rFonts w:cs="Times New Roman"/>
                <w:color w:val="000000"/>
                <w:sz w:val="21"/>
                <w:szCs w:val="21"/>
                <w:lang w:bidi="ar"/>
              </w:rPr>
            </w:pPr>
            <w:r>
              <w:rPr>
                <w:rFonts w:cs="Times New Roman"/>
                <w:color w:val="000000"/>
                <w:sz w:val="21"/>
                <w:szCs w:val="21"/>
                <w:lang w:bidi="ar"/>
              </w:rPr>
              <w:t>2019-2021</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39" w:name="_Toc21388"/>
      <w:bookmarkStart w:id="140" w:name="_Toc7525"/>
      <w:r>
        <w:rPr>
          <w:rFonts w:hint="eastAsia" w:cs="Times New Roman"/>
          <w:lang w:val="en-US" w:eastAsia="zh-CN"/>
        </w:rPr>
        <w:t>3.</w:t>
      </w:r>
      <w:r>
        <w:rPr>
          <w:rFonts w:cs="Times New Roman"/>
        </w:rPr>
        <w:t>牛背山镇</w:t>
      </w:r>
      <w:bookmarkEnd w:id="139"/>
      <w:bookmarkEnd w:id="140"/>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发展指引</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lang w:eastAsia="zh-Hans"/>
        </w:rPr>
        <w:t>牛背山镇</w:t>
      </w:r>
      <w:r>
        <w:rPr>
          <w:rFonts w:cs="Times New Roman"/>
        </w:rPr>
        <w:t>主要依托牛背山景区，重点发展文化旅游、森林康养</w:t>
      </w:r>
      <w:r>
        <w:rPr>
          <w:rFonts w:cs="Times New Roman"/>
          <w:lang w:eastAsia="zh-Hans"/>
        </w:rPr>
        <w:t>等服务业。文化旅游方面，重点打造牛背山世界级山地观光旅游度假产业园，加快牛背山景区改造，重点建设</w:t>
      </w:r>
      <w:r>
        <w:rPr>
          <w:rFonts w:cs="Times New Roman"/>
        </w:rPr>
        <w:t>观景、户外野营、探险、高山滑雪、滑草等项目</w:t>
      </w:r>
      <w:r>
        <w:rPr>
          <w:rFonts w:cs="Times New Roman"/>
          <w:lang w:eastAsia="zh-Hans"/>
        </w:rPr>
        <w:t>，培育建设星级酒店、民宿、农家乐，提升改造各类户外活动基础设施，打造成为国际国内高山观光摄影和极限运动胜地。森林康养方面，以运动康养为主题，重点建设运动健康小镇，打造龙苍沟-牛背山</w:t>
      </w:r>
      <w:r>
        <w:rPr>
          <w:rFonts w:cs="Times New Roman"/>
        </w:rPr>
        <w:t>慢行</w:t>
      </w:r>
      <w:r>
        <w:rPr>
          <w:rFonts w:cs="Times New Roman"/>
          <w:lang w:eastAsia="zh-Hans"/>
        </w:rPr>
        <w:t>系统徒步运动精品路线，牛背山山地运动精品路线，引进国家、省、市级竞技体育训练基地，组织举办各类专业化运动赛事。</w:t>
      </w:r>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2"/>
        <w:numPr>
          <w:ilvl w:val="0"/>
          <w:numId w:val="0"/>
        </w:numPr>
        <w:ind w:leftChars="0"/>
        <w:jc w:val="center"/>
        <w:rPr>
          <w:rFonts w:hint="eastAsia" w:cs="Times New Roman"/>
          <w:lang w:val="en-US" w:eastAsia="zh-CN"/>
        </w:rPr>
      </w:pPr>
    </w:p>
    <w:p>
      <w:pPr>
        <w:pStyle w:val="42"/>
        <w:numPr>
          <w:ilvl w:val="0"/>
          <w:numId w:val="0"/>
        </w:numPr>
        <w:ind w:leftChars="0"/>
        <w:jc w:val="center"/>
        <w:rPr>
          <w:rFonts w:cs="Times New Roman"/>
          <w:lang w:eastAsia="zh-Hans"/>
        </w:rPr>
      </w:pPr>
      <w:r>
        <w:rPr>
          <w:rFonts w:hint="eastAsia" w:cs="Times New Roman"/>
          <w:lang w:val="en-US" w:eastAsia="zh-CN"/>
        </w:rPr>
        <w:t xml:space="preserve">表11  </w:t>
      </w:r>
      <w:r>
        <w:rPr>
          <w:rFonts w:cs="Times New Roman"/>
          <w:lang w:eastAsia="zh-Hans"/>
        </w:rPr>
        <w:t>牛背山镇服务业重点项目表</w:t>
      </w:r>
    </w:p>
    <w:tbl>
      <w:tblPr>
        <w:tblStyle w:val="20"/>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33"/>
        <w:gridCol w:w="725"/>
        <w:gridCol w:w="432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blHeader/>
          <w:jc w:val="center"/>
        </w:trPr>
        <w:tc>
          <w:tcPr>
            <w:tcW w:w="694"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序号</w:t>
            </w:r>
          </w:p>
        </w:tc>
        <w:tc>
          <w:tcPr>
            <w:tcW w:w="1533"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72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4324"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25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中国·牛背山景区旅游开发项目</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324" w:type="dxa"/>
            <w:vAlign w:val="center"/>
          </w:tcPr>
          <w:p>
            <w:pPr>
              <w:spacing w:line="240" w:lineRule="auto"/>
              <w:ind w:firstLine="0" w:firstLineChars="0"/>
              <w:rPr>
                <w:rFonts w:cs="Times New Roman"/>
                <w:sz w:val="21"/>
                <w:szCs w:val="21"/>
              </w:rPr>
            </w:pPr>
            <w:r>
              <w:rPr>
                <w:rFonts w:cs="Times New Roman"/>
                <w:sz w:val="21"/>
                <w:szCs w:val="21"/>
              </w:rPr>
              <w:t>建设牛背山顶、岩桑坪、建政村、云海人家及四人同山顶相关区域的基础设施、旅游服务设施及相关配套设施。</w:t>
            </w:r>
          </w:p>
        </w:tc>
        <w:tc>
          <w:tcPr>
            <w:tcW w:w="1255" w:type="dxa"/>
            <w:vAlign w:val="center"/>
          </w:tcPr>
          <w:p>
            <w:pPr>
              <w:spacing w:line="240" w:lineRule="auto"/>
              <w:ind w:firstLine="0" w:firstLineChars="0"/>
              <w:jc w:val="center"/>
              <w:rPr>
                <w:rFonts w:cs="Times New Roman"/>
                <w:sz w:val="21"/>
                <w:szCs w:val="21"/>
              </w:rPr>
            </w:pPr>
            <w:r>
              <w:rPr>
                <w:rFonts w:cs="Times New Roman"/>
                <w:sz w:val="21"/>
                <w:szCs w:val="21"/>
                <w:lang w:bidi="ar"/>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lang w:bidi="ar"/>
              </w:rPr>
              <w:t>牛背山森林运动休闲小镇项目</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lang w:bidi="ar"/>
              </w:rPr>
              <w:t>新建</w:t>
            </w:r>
          </w:p>
        </w:tc>
        <w:tc>
          <w:tcPr>
            <w:tcW w:w="4324" w:type="dxa"/>
            <w:vAlign w:val="center"/>
          </w:tcPr>
          <w:p>
            <w:pPr>
              <w:spacing w:line="240" w:lineRule="auto"/>
              <w:ind w:firstLine="0" w:firstLineChars="0"/>
              <w:rPr>
                <w:rFonts w:cs="Times New Roman"/>
                <w:sz w:val="21"/>
                <w:szCs w:val="21"/>
              </w:rPr>
            </w:pPr>
            <w:r>
              <w:rPr>
                <w:rFonts w:cs="Times New Roman"/>
                <w:sz w:val="21"/>
                <w:szCs w:val="21"/>
                <w:lang w:bidi="ar"/>
              </w:rPr>
              <w:t>一是建设游客接待中心、农家乐集群、星级宾馆、特色商品展销中心以及相关道路基础设施建设。二是全面完成牛背山森林户外运动休闲特色小镇建设，按4A级以上景区标准建设，完善配套服务功能，并推行“景区+小镇”管理体制。建设项目有滨河景观大道、生态防洪堤、滨河水上运动项目。三是依托牛背山景区旅游开发，深度挖掘牛背山森林户外运动休闲特色小镇其他优秀旅游资源。建设项目，依托牛背山镇香炉山佛教文化及良好的生态环境（山上有保护完好的高山杜鹃和珙桐林），开发香炉山旅游资源；充分挖掘牛背山镇建政村红色旅游文化资源，打造红色旅游教育基地；深入挖掘红石沟极地探险运动资源。</w:t>
            </w:r>
          </w:p>
        </w:tc>
        <w:tc>
          <w:tcPr>
            <w:tcW w:w="1255" w:type="dxa"/>
            <w:vAlign w:val="center"/>
          </w:tcPr>
          <w:p>
            <w:pPr>
              <w:spacing w:line="240" w:lineRule="auto"/>
              <w:ind w:firstLine="0" w:firstLineChars="0"/>
              <w:jc w:val="center"/>
              <w:rPr>
                <w:rFonts w:cs="Times New Roman"/>
                <w:sz w:val="21"/>
                <w:szCs w:val="21"/>
              </w:rPr>
            </w:pPr>
            <w:r>
              <w:rPr>
                <w:rFonts w:cs="Times New Roman"/>
                <w:sz w:val="21"/>
                <w:szCs w:val="21"/>
                <w:lang w:bidi="ar"/>
              </w:rPr>
              <w:t>2021-2028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3</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四川·荥经漫竹坪休闲度假中心</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324" w:type="dxa"/>
            <w:vAlign w:val="center"/>
          </w:tcPr>
          <w:p>
            <w:pPr>
              <w:spacing w:line="240" w:lineRule="auto"/>
              <w:ind w:firstLine="0" w:firstLineChars="0"/>
              <w:rPr>
                <w:rFonts w:cs="Times New Roman"/>
                <w:sz w:val="21"/>
                <w:szCs w:val="21"/>
              </w:rPr>
            </w:pPr>
            <w:r>
              <w:rPr>
                <w:rFonts w:cs="Times New Roman"/>
                <w:sz w:val="21"/>
                <w:szCs w:val="21"/>
              </w:rPr>
              <w:t>建设项目总体空间布局为一镇一山，一镇指温泉小镇，一山指山地旅游区。</w:t>
            </w:r>
          </w:p>
          <w:p>
            <w:pPr>
              <w:spacing w:line="240" w:lineRule="auto"/>
              <w:ind w:firstLine="0" w:firstLineChars="0"/>
              <w:rPr>
                <w:rFonts w:cs="Times New Roman"/>
                <w:sz w:val="21"/>
                <w:szCs w:val="21"/>
              </w:rPr>
            </w:pPr>
            <w:r>
              <w:rPr>
                <w:rFonts w:cs="Times New Roman"/>
                <w:sz w:val="21"/>
                <w:szCs w:val="21"/>
              </w:rPr>
              <w:t>温泉小镇包括温泉度假中心、康养酒店区温泉酒店区、亲水游乐区、露营基地、休闲水街、红色文化展示区、民俗体验区。山地旅游区包括山地观光区山、地运动休闲区山、麓休闲度假区、蔚蓝星空山极酒店。</w:t>
            </w:r>
          </w:p>
        </w:tc>
        <w:tc>
          <w:tcPr>
            <w:tcW w:w="1255"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4</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牛背山长征文化旅游小镇</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324" w:type="dxa"/>
            <w:vAlign w:val="center"/>
          </w:tcPr>
          <w:p>
            <w:pPr>
              <w:spacing w:line="240" w:lineRule="auto"/>
              <w:ind w:firstLine="0" w:firstLineChars="0"/>
              <w:rPr>
                <w:rFonts w:cs="Times New Roman"/>
                <w:sz w:val="21"/>
                <w:szCs w:val="21"/>
              </w:rPr>
            </w:pPr>
            <w:r>
              <w:rPr>
                <w:rFonts w:cs="Times New Roman"/>
                <w:sz w:val="21"/>
                <w:szCs w:val="21"/>
              </w:rPr>
              <w:t>在雅安市荥经县牛背山镇规划建设长征主题红色旅游集散城镇，开展城镇建设规划、120亩土地征用及基础设施建设，建设游客集散中心1个及相关配套基础设施，以及长征文化主题“红色街”。</w:t>
            </w:r>
          </w:p>
        </w:tc>
        <w:tc>
          <w:tcPr>
            <w:tcW w:w="1255" w:type="dxa"/>
            <w:vAlign w:val="center"/>
          </w:tcPr>
          <w:p>
            <w:pPr>
              <w:spacing w:line="240" w:lineRule="auto"/>
              <w:ind w:firstLine="0" w:firstLineChars="0"/>
              <w:jc w:val="center"/>
              <w:rPr>
                <w:rFonts w:cs="Times New Roman"/>
                <w:sz w:val="21"/>
                <w:szCs w:val="21"/>
              </w:rPr>
            </w:pPr>
            <w:r>
              <w:rPr>
                <w:rFonts w:cs="Times New Roman"/>
                <w:sz w:val="21"/>
                <w:szCs w:val="21"/>
                <w:lang w:bidi="ar"/>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5</w:t>
            </w:r>
          </w:p>
        </w:tc>
        <w:tc>
          <w:tcPr>
            <w:tcW w:w="1533" w:type="dxa"/>
            <w:vAlign w:val="center"/>
          </w:tcPr>
          <w:p>
            <w:pPr>
              <w:spacing w:line="240" w:lineRule="auto"/>
              <w:ind w:firstLine="0" w:firstLineChars="0"/>
              <w:jc w:val="center"/>
              <w:rPr>
                <w:rFonts w:cs="Times New Roman"/>
                <w:sz w:val="21"/>
                <w:szCs w:val="21"/>
              </w:rPr>
            </w:pPr>
            <w:r>
              <w:rPr>
                <w:rFonts w:cs="Times New Roman"/>
                <w:sz w:val="21"/>
                <w:szCs w:val="21"/>
              </w:rPr>
              <w:t>牛背山森林医院</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324" w:type="dxa"/>
            <w:vAlign w:val="center"/>
          </w:tcPr>
          <w:p>
            <w:pPr>
              <w:spacing w:line="240" w:lineRule="auto"/>
              <w:ind w:firstLine="0" w:firstLineChars="0"/>
              <w:rPr>
                <w:rFonts w:cs="Times New Roman"/>
                <w:sz w:val="21"/>
                <w:szCs w:val="21"/>
              </w:rPr>
            </w:pPr>
            <w:r>
              <w:rPr>
                <w:rFonts w:cs="Times New Roman"/>
                <w:sz w:val="21"/>
                <w:szCs w:val="21"/>
              </w:rPr>
              <w:t>项目位于牛背山镇建政村，拟采用日本模式建设，重点建设接待区、管理服务区、森林游憩区、疗养康复区、保健区五大区域，配置种植不同的树木，对气管炎、肺炎、肺结核等呼吸道疾病患者大有裨益。</w:t>
            </w:r>
          </w:p>
        </w:tc>
        <w:tc>
          <w:tcPr>
            <w:tcW w:w="1255"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6</w:t>
            </w:r>
          </w:p>
        </w:tc>
        <w:tc>
          <w:tcPr>
            <w:tcW w:w="1533" w:type="dxa"/>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牛背山景区荥经片区旅游开发项目</w:t>
            </w:r>
          </w:p>
        </w:tc>
        <w:tc>
          <w:tcPr>
            <w:tcW w:w="72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324" w:type="dxa"/>
            <w:vAlign w:val="center"/>
          </w:tcPr>
          <w:p>
            <w:pPr>
              <w:widowControl/>
              <w:spacing w:line="240" w:lineRule="auto"/>
              <w:ind w:firstLine="0" w:firstLineChars="0"/>
              <w:rPr>
                <w:rFonts w:cs="Times New Roman"/>
                <w:color w:val="000000"/>
                <w:sz w:val="21"/>
                <w:szCs w:val="21"/>
              </w:rPr>
            </w:pPr>
            <w:r>
              <w:rPr>
                <w:rFonts w:cs="Times New Roman"/>
                <w:color w:val="000000"/>
                <w:sz w:val="21"/>
                <w:szCs w:val="21"/>
                <w:lang w:bidi="ar"/>
              </w:rPr>
              <w:t>以“360度全方位观景圣地”为核心吸引力，做亮亚洲第一360度观景平台名片，打造集极致观光、艺术摄影、休闲娱乐、户外体验、乡村风情、度假休养等功能于一体的国际知名的山岳型生态旅游胜地，争创国家5A级旅游景区，打造户外探险旅游目的地</w:t>
            </w:r>
            <w:r>
              <w:rPr>
                <w:rFonts w:hint="eastAsia" w:cs="Times New Roman"/>
                <w:color w:val="000000"/>
                <w:sz w:val="21"/>
                <w:szCs w:val="21"/>
                <w:lang w:bidi="ar"/>
              </w:rPr>
              <w:t>。</w:t>
            </w:r>
          </w:p>
        </w:tc>
        <w:tc>
          <w:tcPr>
            <w:tcW w:w="1255" w:type="dxa"/>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2017-2025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jc w:val="center"/>
        </w:trPr>
        <w:tc>
          <w:tcPr>
            <w:tcW w:w="694" w:type="dxa"/>
            <w:vAlign w:val="center"/>
          </w:tcPr>
          <w:p>
            <w:pPr>
              <w:spacing w:line="240" w:lineRule="auto"/>
              <w:ind w:firstLine="0" w:firstLineChars="0"/>
              <w:jc w:val="center"/>
              <w:rPr>
                <w:rFonts w:cs="Times New Roman"/>
                <w:sz w:val="21"/>
                <w:szCs w:val="21"/>
              </w:rPr>
            </w:pPr>
            <w:r>
              <w:rPr>
                <w:rFonts w:cs="Times New Roman"/>
                <w:sz w:val="21"/>
                <w:szCs w:val="21"/>
              </w:rPr>
              <w:t>7</w:t>
            </w:r>
          </w:p>
        </w:tc>
        <w:tc>
          <w:tcPr>
            <w:tcW w:w="1533" w:type="dxa"/>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荥经县自驾游营地建设项目</w:t>
            </w:r>
          </w:p>
        </w:tc>
        <w:tc>
          <w:tcPr>
            <w:tcW w:w="725" w:type="dxa"/>
            <w:vAlign w:val="center"/>
          </w:tcPr>
          <w:p>
            <w:pPr>
              <w:widowControl/>
              <w:spacing w:line="240" w:lineRule="auto"/>
              <w:ind w:firstLine="0" w:firstLineChars="0"/>
              <w:jc w:val="center"/>
              <w:rPr>
                <w:rFonts w:cs="Times New Roman"/>
                <w:sz w:val="21"/>
                <w:szCs w:val="21"/>
              </w:rPr>
            </w:pPr>
            <w:r>
              <w:rPr>
                <w:rFonts w:cs="Times New Roman"/>
                <w:color w:val="000000"/>
                <w:sz w:val="21"/>
                <w:szCs w:val="21"/>
                <w:lang w:bidi="ar"/>
              </w:rPr>
              <w:t>新建</w:t>
            </w:r>
          </w:p>
        </w:tc>
        <w:tc>
          <w:tcPr>
            <w:tcW w:w="4324" w:type="dxa"/>
            <w:vAlign w:val="center"/>
          </w:tcPr>
          <w:p>
            <w:pPr>
              <w:widowControl/>
              <w:spacing w:line="240" w:lineRule="auto"/>
              <w:ind w:firstLine="0" w:firstLineChars="0"/>
              <w:rPr>
                <w:rFonts w:cs="Times New Roman"/>
                <w:sz w:val="21"/>
                <w:szCs w:val="21"/>
              </w:rPr>
            </w:pPr>
            <w:r>
              <w:rPr>
                <w:rFonts w:cs="Times New Roman"/>
                <w:color w:val="000000"/>
                <w:sz w:val="21"/>
                <w:szCs w:val="21"/>
                <w:lang w:bidi="ar"/>
              </w:rPr>
              <w:t>项目占地60亩，项目估算总投资5000万元，牛背山出发地。新建游客接待中心，住宿、泊车、露营、越野、休闲、餐饮、娱乐、汽车保养与维护、汽车租赁、度假、户外运动、信息服务、医疗与救援等基础设施建设。</w:t>
            </w:r>
          </w:p>
        </w:tc>
        <w:tc>
          <w:tcPr>
            <w:tcW w:w="1255" w:type="dxa"/>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2021-2023</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left"/>
        <w:textAlignment w:val="auto"/>
        <w:rPr>
          <w:rFonts w:cs="Times New Roman"/>
        </w:rPr>
      </w:pPr>
      <w:bookmarkStart w:id="141" w:name="_Toc12261"/>
      <w:bookmarkStart w:id="142" w:name="_Toc6893"/>
      <w:r>
        <w:rPr>
          <w:rFonts w:hint="eastAsia" w:cs="Times New Roman"/>
          <w:lang w:val="en-US" w:eastAsia="zh-CN"/>
        </w:rPr>
        <w:t>4.</w:t>
      </w:r>
      <w:r>
        <w:rPr>
          <w:rFonts w:cs="Times New Roman"/>
        </w:rPr>
        <w:t>新添镇</w:t>
      </w:r>
      <w:bookmarkEnd w:id="141"/>
      <w:bookmarkEnd w:id="142"/>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left"/>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发展指引</w:t>
      </w:r>
    </w:p>
    <w:p>
      <w:pPr>
        <w:keepNext w:val="0"/>
        <w:keepLines w:val="0"/>
        <w:pageBreakBefore w:val="0"/>
        <w:widowControl w:val="0"/>
        <w:kinsoku/>
        <w:wordWrap/>
        <w:overflowPunct/>
        <w:topLinePunct w:val="0"/>
        <w:autoSpaceDE/>
        <w:autoSpaceDN/>
        <w:bidi w:val="0"/>
        <w:adjustRightInd/>
        <w:snapToGrid/>
        <w:spacing w:line="576" w:lineRule="exact"/>
        <w:ind w:firstLine="640"/>
        <w:jc w:val="left"/>
        <w:textAlignment w:val="auto"/>
        <w:rPr>
          <w:rFonts w:cs="Times New Roman"/>
          <w:lang w:eastAsia="zh-Hans"/>
        </w:rPr>
      </w:pPr>
      <w:r>
        <w:rPr>
          <w:rFonts w:cs="Times New Roman"/>
        </w:rPr>
        <w:t>依托茶马古道驿站文化，</w:t>
      </w:r>
      <w:r>
        <w:rPr>
          <w:rFonts w:cs="Times New Roman"/>
          <w:lang w:eastAsia="zh-Hans"/>
        </w:rPr>
        <w:t>新添镇</w:t>
      </w:r>
      <w:r>
        <w:rPr>
          <w:rFonts w:cs="Times New Roman"/>
        </w:rPr>
        <w:t>重点发展文化旅游、</w:t>
      </w:r>
      <w:r>
        <w:rPr>
          <w:rFonts w:cs="Times New Roman"/>
          <w:lang w:eastAsia="zh-Hans"/>
        </w:rPr>
        <w:t>商业贸易、</w:t>
      </w:r>
      <w:r>
        <w:rPr>
          <w:rFonts w:cs="Times New Roman"/>
        </w:rPr>
        <w:t>电子商务</w:t>
      </w:r>
      <w:r>
        <w:rPr>
          <w:rFonts w:cs="Times New Roman"/>
          <w:lang w:eastAsia="zh-Hans"/>
        </w:rPr>
        <w:t>等服务业。文化旅游方面，依托</w:t>
      </w:r>
      <w:r>
        <w:rPr>
          <w:rFonts w:cs="Times New Roman"/>
        </w:rPr>
        <w:t>省级现代茶产业园区</w:t>
      </w:r>
      <w:r>
        <w:rPr>
          <w:rFonts w:cs="Times New Roman"/>
          <w:lang w:eastAsia="zh-Hans"/>
        </w:rPr>
        <w:t>的建设，重点建设茶旅文化特色小镇，积极推动文旅融合，推动茶叶采摘体验、茶文化主题民宿、精品茶叶体验店等业态建设。商业贸易方面，重点推动</w:t>
      </w:r>
      <w:r>
        <w:rPr>
          <w:rFonts w:cs="Times New Roman"/>
        </w:rPr>
        <w:t>茶叶</w:t>
      </w:r>
      <w:r>
        <w:rPr>
          <w:rFonts w:cs="Times New Roman"/>
          <w:lang w:eastAsia="zh-Hans"/>
        </w:rPr>
        <w:t>商贸市场建设，形成规范、集中的茶叶交易专业市场。电子商务方面，围绕茶产业发展需求，创新发展直播电商，与网红主播合作带动茶产业、茶旅产业的发展。完善物流站点建设，提升电商物流的流通效率。</w:t>
      </w:r>
    </w:p>
    <w:p>
      <w:pPr>
        <w:pStyle w:val="6"/>
        <w:numPr>
          <w:ilvl w:val="0"/>
          <w:numId w:val="0"/>
        </w:numPr>
        <w:tabs>
          <w:tab w:val="clear" w:pos="0"/>
        </w:tabs>
        <w:ind w:leftChars="200"/>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2"/>
        <w:numPr>
          <w:ilvl w:val="0"/>
          <w:numId w:val="0"/>
        </w:numPr>
        <w:ind w:leftChars="0"/>
        <w:jc w:val="center"/>
        <w:rPr>
          <w:rFonts w:cs="Times New Roman"/>
        </w:rPr>
      </w:pPr>
      <w:r>
        <w:rPr>
          <w:rFonts w:hint="eastAsia" w:cs="Times New Roman"/>
          <w:lang w:val="en-US" w:eastAsia="zh-CN"/>
        </w:rPr>
        <w:t xml:space="preserve">表12  </w:t>
      </w:r>
      <w:r>
        <w:rPr>
          <w:rFonts w:cs="Times New Roman"/>
        </w:rPr>
        <w:t>新添镇服务业重点项目表</w:t>
      </w:r>
    </w:p>
    <w:tbl>
      <w:tblPr>
        <w:tblStyle w:val="20"/>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78"/>
        <w:gridCol w:w="660"/>
        <w:gridCol w:w="5022"/>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序号</w:t>
            </w:r>
          </w:p>
        </w:tc>
        <w:tc>
          <w:tcPr>
            <w:tcW w:w="978"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660"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5022"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202"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978" w:type="dxa"/>
            <w:vAlign w:val="center"/>
          </w:tcPr>
          <w:p>
            <w:pPr>
              <w:spacing w:line="240" w:lineRule="auto"/>
              <w:ind w:firstLine="0" w:firstLineChars="0"/>
              <w:jc w:val="center"/>
              <w:rPr>
                <w:rFonts w:cs="Times New Roman"/>
                <w:sz w:val="21"/>
                <w:szCs w:val="21"/>
              </w:rPr>
            </w:pPr>
            <w:r>
              <w:rPr>
                <w:rFonts w:cs="Times New Roman"/>
                <w:sz w:val="21"/>
                <w:szCs w:val="21"/>
              </w:rPr>
              <w:t>砂茶共舞·茶马古道走廊带示范中心</w:t>
            </w:r>
          </w:p>
        </w:tc>
        <w:tc>
          <w:tcPr>
            <w:tcW w:w="66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5022" w:type="dxa"/>
            <w:vAlign w:val="center"/>
          </w:tcPr>
          <w:p>
            <w:pPr>
              <w:spacing w:line="240" w:lineRule="auto"/>
              <w:ind w:firstLine="0" w:firstLineChars="0"/>
              <w:rPr>
                <w:rFonts w:cs="Times New Roman"/>
                <w:sz w:val="21"/>
                <w:szCs w:val="21"/>
              </w:rPr>
            </w:pPr>
            <w:r>
              <w:rPr>
                <w:rFonts w:cs="Times New Roman"/>
                <w:sz w:val="21"/>
                <w:szCs w:val="21"/>
              </w:rPr>
              <w:t>建设内容包括：1茶马古道：新添站、姜家大院、刘家大院、严道古城、石佛寺、靖口站、大通桥、崔石堡、黄仪堡、周公桥、二台子桥、重修大相岭路桥碑；2南丝路：马落崖、何君尊楗阁刻石、九折坂。其中，对茶马古道、南丝路周围进行环境整治，拆除文物建控范围内违规建筑，文物本体进行加固维修，安装消防安防实施，整改并完善卫生间、电网、水网等旅游配套设施；古道维新建接待和管理配套设施10000平方米。</w:t>
            </w:r>
          </w:p>
        </w:tc>
        <w:tc>
          <w:tcPr>
            <w:tcW w:w="1202"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spacing w:line="240" w:lineRule="auto"/>
              <w:ind w:firstLine="0" w:firstLineChars="0"/>
              <w:jc w:val="center"/>
              <w:rPr>
                <w:rFonts w:cs="Times New Roman"/>
                <w:sz w:val="21"/>
                <w:szCs w:val="21"/>
              </w:rPr>
            </w:pPr>
            <w:r>
              <w:rPr>
                <w:rFonts w:cs="Times New Roman"/>
                <w:sz w:val="21"/>
                <w:szCs w:val="21"/>
              </w:rPr>
              <w:t>2</w:t>
            </w:r>
          </w:p>
        </w:tc>
        <w:tc>
          <w:tcPr>
            <w:tcW w:w="978" w:type="dxa"/>
            <w:vAlign w:val="center"/>
          </w:tcPr>
          <w:p>
            <w:pPr>
              <w:spacing w:line="240" w:lineRule="auto"/>
              <w:ind w:firstLine="0" w:firstLineChars="0"/>
              <w:jc w:val="center"/>
              <w:rPr>
                <w:rFonts w:cs="Times New Roman"/>
                <w:sz w:val="21"/>
                <w:szCs w:val="21"/>
              </w:rPr>
            </w:pPr>
            <w:r>
              <w:rPr>
                <w:rFonts w:cs="Times New Roman"/>
                <w:sz w:val="21"/>
                <w:szCs w:val="21"/>
              </w:rPr>
              <w:t>荥经县藏茶仓储物流及互联网销售项目</w:t>
            </w:r>
          </w:p>
        </w:tc>
        <w:tc>
          <w:tcPr>
            <w:tcW w:w="660"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5022" w:type="dxa"/>
            <w:vAlign w:val="center"/>
          </w:tcPr>
          <w:p>
            <w:pPr>
              <w:spacing w:line="240" w:lineRule="auto"/>
              <w:ind w:firstLine="0" w:firstLineChars="0"/>
              <w:rPr>
                <w:rFonts w:cs="Times New Roman"/>
                <w:sz w:val="21"/>
                <w:szCs w:val="21"/>
              </w:rPr>
            </w:pPr>
            <w:r>
              <w:rPr>
                <w:rFonts w:cs="Times New Roman"/>
                <w:sz w:val="21"/>
                <w:szCs w:val="21"/>
              </w:rPr>
              <w:t>以新添茶叶交易市场为依托，建藏茶仓储物流园中心，配套相关设施设备，建高山云雾茶互联网交易平台等。</w:t>
            </w:r>
          </w:p>
        </w:tc>
        <w:tc>
          <w:tcPr>
            <w:tcW w:w="1202" w:type="dxa"/>
            <w:vAlign w:val="center"/>
          </w:tcPr>
          <w:p>
            <w:pPr>
              <w:spacing w:line="240" w:lineRule="auto"/>
              <w:ind w:firstLine="0" w:firstLineChars="0"/>
              <w:jc w:val="center"/>
              <w:rPr>
                <w:rFonts w:cs="Times New Roman"/>
                <w:sz w:val="21"/>
                <w:szCs w:val="21"/>
              </w:rPr>
            </w:pPr>
            <w:r>
              <w:rPr>
                <w:rFonts w:cs="Times New Roman"/>
                <w:sz w:val="21"/>
                <w:szCs w:val="21"/>
                <w:lang w:bidi="ar"/>
              </w:rPr>
              <w:t>2021-2022</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13"/>
        <w:jc w:val="both"/>
        <w:textAlignment w:val="auto"/>
        <w:rPr>
          <w:rFonts w:cs="Times New Roman"/>
        </w:rPr>
      </w:pPr>
      <w:bookmarkStart w:id="143" w:name="_Toc15113"/>
      <w:bookmarkStart w:id="144" w:name="_Toc6761"/>
      <w:r>
        <w:rPr>
          <w:rFonts w:hint="eastAsia" w:cs="Times New Roman"/>
          <w:lang w:val="en-US" w:eastAsia="zh-CN"/>
        </w:rPr>
        <w:t>5.</w:t>
      </w:r>
      <w:r>
        <w:rPr>
          <w:rFonts w:cs="Times New Roman"/>
        </w:rPr>
        <w:t>花滩镇</w:t>
      </w:r>
      <w:bookmarkEnd w:id="143"/>
      <w:bookmarkEnd w:id="144"/>
    </w:p>
    <w:p>
      <w:pPr>
        <w:pStyle w:val="6"/>
        <w:keepNext w:val="0"/>
        <w:keepLines w:val="0"/>
        <w:pageBreakBefore w:val="0"/>
        <w:widowControl w:val="0"/>
        <w:numPr>
          <w:ilvl w:val="0"/>
          <w:numId w:val="0"/>
        </w:numPr>
        <w:tabs>
          <w:tab w:val="clear" w:pos="0"/>
        </w:tabs>
        <w:kinsoku/>
        <w:wordWrap/>
        <w:overflowPunct/>
        <w:topLinePunct w:val="0"/>
        <w:autoSpaceDE/>
        <w:autoSpaceDN/>
        <w:bidi w:val="0"/>
        <w:adjustRightInd/>
        <w:snapToGrid/>
        <w:spacing w:line="576" w:lineRule="exact"/>
        <w:ind w:leftChars="200"/>
        <w:jc w:val="both"/>
        <w:textAlignment w:val="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发展指引</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cs="Times New Roman"/>
        </w:rPr>
        <w:t>依托工业转型优势，花滩镇重点发展商业贸易、现代物流</w:t>
      </w:r>
      <w:r>
        <w:rPr>
          <w:rFonts w:cs="Times New Roman"/>
          <w:lang w:eastAsia="zh-Hans"/>
        </w:rPr>
        <w:t>等服务业。</w:t>
      </w:r>
      <w:r>
        <w:rPr>
          <w:rFonts w:cs="Times New Roman"/>
        </w:rPr>
        <w:t>商业贸易方面，打造工贸旅游特色镇，</w:t>
      </w:r>
      <w:r>
        <w:rPr>
          <w:rFonts w:cs="Times New Roman"/>
          <w:lang w:eastAsia="zh-Hans"/>
        </w:rPr>
        <w:t>以产业支撑、园区承载、人口集聚、稳步开发的发展思路，开发“生产—展销—体验”于一体的工业旅游产品</w:t>
      </w:r>
      <w:r>
        <w:rPr>
          <w:rFonts w:cs="Times New Roman"/>
        </w:rPr>
        <w:t>，</w:t>
      </w:r>
      <w:r>
        <w:rPr>
          <w:rFonts w:cs="Times New Roman"/>
          <w:lang w:eastAsia="zh-Hans"/>
        </w:rPr>
        <w:t>建设集匠心体验、艺术商业为一体的创意工业园区</w:t>
      </w:r>
      <w:r>
        <w:rPr>
          <w:rFonts w:cs="Times New Roman"/>
        </w:rPr>
        <w:t>。围绕特色农产品和工业转型优势，</w:t>
      </w:r>
      <w:r>
        <w:rPr>
          <w:rFonts w:cs="Times New Roman"/>
          <w:lang w:eastAsia="zh-Hans"/>
        </w:rPr>
        <w:t>建设特色农产品市场、建材交易市场等专业市场</w:t>
      </w:r>
      <w:r>
        <w:rPr>
          <w:rFonts w:cs="Times New Roman"/>
        </w:rPr>
        <w:t>。</w:t>
      </w:r>
      <w:r>
        <w:rPr>
          <w:rFonts w:cs="Times New Roman"/>
          <w:lang w:eastAsia="zh-Hans"/>
        </w:rPr>
        <w:t>现代物流方面，围绕特色农产品，大力发展冷链物流，围绕工业物流的需求，推动工业企业实施</w:t>
      </w:r>
      <w:r>
        <w:rPr>
          <w:rFonts w:cs="Times New Roman"/>
        </w:rPr>
        <w:t>主辅</w:t>
      </w:r>
      <w:r>
        <w:rPr>
          <w:rFonts w:cs="Times New Roman"/>
          <w:lang w:eastAsia="zh-Hans"/>
        </w:rPr>
        <w:t>分离，大力发展制造业物流，配套相应的大宗物流功能。</w:t>
      </w:r>
    </w:p>
    <w:p>
      <w:pPr>
        <w:pStyle w:val="6"/>
        <w:numPr>
          <w:ilvl w:val="0"/>
          <w:numId w:val="0"/>
        </w:numPr>
        <w:tabs>
          <w:tab w:val="clear" w:pos="0"/>
        </w:tabs>
        <w:ind w:leftChars="200"/>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重点项目</w:t>
      </w:r>
    </w:p>
    <w:p>
      <w:pPr>
        <w:pStyle w:val="42"/>
        <w:numPr>
          <w:ilvl w:val="0"/>
          <w:numId w:val="0"/>
        </w:numPr>
        <w:ind w:leftChars="0"/>
        <w:jc w:val="center"/>
        <w:rPr>
          <w:rFonts w:cs="Times New Roman"/>
        </w:rPr>
      </w:pPr>
      <w:r>
        <w:rPr>
          <w:rFonts w:hint="eastAsia" w:cs="Times New Roman"/>
          <w:lang w:val="en-US" w:eastAsia="zh-CN"/>
        </w:rPr>
        <w:t xml:space="preserve">表13  </w:t>
      </w:r>
      <w:r>
        <w:rPr>
          <w:rFonts w:cs="Times New Roman"/>
        </w:rPr>
        <w:t>花滩镇服务业重点项目表</w:t>
      </w:r>
    </w:p>
    <w:tbl>
      <w:tblPr>
        <w:tblStyle w:val="20"/>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23"/>
        <w:gridCol w:w="665"/>
        <w:gridCol w:w="477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1"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序号</w:t>
            </w:r>
          </w:p>
        </w:tc>
        <w:tc>
          <w:tcPr>
            <w:tcW w:w="1223"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名称</w:t>
            </w:r>
          </w:p>
        </w:tc>
        <w:tc>
          <w:tcPr>
            <w:tcW w:w="66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规划类型</w:t>
            </w:r>
          </w:p>
        </w:tc>
        <w:tc>
          <w:tcPr>
            <w:tcW w:w="477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主要建设内容</w:t>
            </w:r>
          </w:p>
        </w:tc>
        <w:tc>
          <w:tcPr>
            <w:tcW w:w="1145" w:type="dxa"/>
            <w:shd w:val="clear" w:color="auto" w:fill="CFCECE" w:themeFill="background2" w:themeFillShade="E5"/>
            <w:vAlign w:val="center"/>
          </w:tcPr>
          <w:p>
            <w:pPr>
              <w:widowControl/>
              <w:spacing w:line="240" w:lineRule="auto"/>
              <w:ind w:firstLine="0" w:firstLineChars="0"/>
              <w:jc w:val="center"/>
              <w:rPr>
                <w:rFonts w:eastAsia="黑体" w:cs="Times New Roman"/>
                <w:b/>
                <w:bCs/>
                <w:sz w:val="21"/>
                <w:szCs w:val="21"/>
              </w:rPr>
            </w:pPr>
            <w:r>
              <w:rPr>
                <w:rFonts w:eastAsia="黑体" w:cs="Times New Roman"/>
                <w:b/>
                <w:bCs/>
                <w:sz w:val="21"/>
                <w:szCs w:val="21"/>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spacing w:line="240" w:lineRule="auto"/>
              <w:ind w:firstLine="0" w:firstLineChars="0"/>
              <w:jc w:val="center"/>
              <w:rPr>
                <w:rFonts w:cs="Times New Roman"/>
                <w:sz w:val="21"/>
                <w:szCs w:val="21"/>
              </w:rPr>
            </w:pPr>
            <w:r>
              <w:rPr>
                <w:rFonts w:cs="Times New Roman"/>
                <w:sz w:val="21"/>
                <w:szCs w:val="21"/>
              </w:rPr>
              <w:t>1</w:t>
            </w:r>
          </w:p>
        </w:tc>
        <w:tc>
          <w:tcPr>
            <w:tcW w:w="1223" w:type="dxa"/>
            <w:vAlign w:val="center"/>
          </w:tcPr>
          <w:p>
            <w:pPr>
              <w:spacing w:line="240" w:lineRule="auto"/>
              <w:ind w:firstLine="0" w:firstLineChars="0"/>
              <w:jc w:val="center"/>
              <w:rPr>
                <w:rFonts w:cs="Times New Roman"/>
                <w:sz w:val="21"/>
                <w:szCs w:val="21"/>
              </w:rPr>
            </w:pPr>
            <w:r>
              <w:rPr>
                <w:rFonts w:cs="Times New Roman"/>
                <w:sz w:val="21"/>
                <w:szCs w:val="21"/>
              </w:rPr>
              <w:t>花滩镇齐心村文旅开发项目</w:t>
            </w:r>
          </w:p>
        </w:tc>
        <w:tc>
          <w:tcPr>
            <w:tcW w:w="665" w:type="dxa"/>
            <w:vAlign w:val="center"/>
          </w:tcPr>
          <w:p>
            <w:pPr>
              <w:spacing w:line="240" w:lineRule="auto"/>
              <w:ind w:firstLine="0" w:firstLineChars="0"/>
              <w:jc w:val="center"/>
              <w:rPr>
                <w:rFonts w:cs="Times New Roman"/>
                <w:sz w:val="21"/>
                <w:szCs w:val="21"/>
              </w:rPr>
            </w:pPr>
            <w:r>
              <w:rPr>
                <w:rFonts w:cs="Times New Roman"/>
                <w:sz w:val="21"/>
                <w:szCs w:val="21"/>
              </w:rPr>
              <w:t>新建</w:t>
            </w:r>
          </w:p>
        </w:tc>
        <w:tc>
          <w:tcPr>
            <w:tcW w:w="4775" w:type="dxa"/>
            <w:vAlign w:val="center"/>
          </w:tcPr>
          <w:p>
            <w:pPr>
              <w:spacing w:line="240" w:lineRule="auto"/>
              <w:ind w:firstLine="0" w:firstLineChars="0"/>
              <w:rPr>
                <w:rFonts w:cs="Times New Roman"/>
                <w:sz w:val="21"/>
                <w:szCs w:val="21"/>
              </w:rPr>
            </w:pPr>
            <w:r>
              <w:rPr>
                <w:rFonts w:cs="Times New Roman"/>
                <w:sz w:val="21"/>
                <w:szCs w:val="21"/>
              </w:rPr>
              <w:t>村庄综合性公共服务中心建设。围绕齐心最美古村落，开发旅游资源，推动农村公共服务设施改扩建，对齐心村四合院改造，以新农村建设，把四合院现有住户置换出来，建设康养基地，着力打造文旅融合示范点</w:t>
            </w:r>
            <w:r>
              <w:rPr>
                <w:rFonts w:hint="eastAsia" w:cs="Times New Roman"/>
                <w:sz w:val="21"/>
                <w:szCs w:val="21"/>
              </w:rPr>
              <w:t>。</w:t>
            </w:r>
          </w:p>
        </w:tc>
        <w:tc>
          <w:tcPr>
            <w:tcW w:w="1145" w:type="dxa"/>
            <w:vAlign w:val="center"/>
          </w:tcPr>
          <w:p>
            <w:pPr>
              <w:spacing w:line="240" w:lineRule="auto"/>
              <w:ind w:firstLine="0" w:firstLineChars="0"/>
              <w:jc w:val="center"/>
              <w:rPr>
                <w:rFonts w:cs="Times New Roman"/>
                <w:sz w:val="21"/>
                <w:szCs w:val="21"/>
              </w:rPr>
            </w:pPr>
            <w:r>
              <w:rPr>
                <w:rFonts w:cs="Times New Roman"/>
                <w:sz w:val="21"/>
                <w:szCs w:val="21"/>
                <w:lang w:bidi="ar"/>
              </w:rPr>
              <w:t>2021-2023</w:t>
            </w:r>
          </w:p>
        </w:tc>
      </w:tr>
    </w:tbl>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200"/>
        <w:textAlignment w:val="auto"/>
        <w:rPr>
          <w:rFonts w:ascii="Times New Roman" w:hAnsi="Times New Roman" w:cs="Times New Roman"/>
          <w:b w:val="0"/>
          <w:bCs w:val="0"/>
          <w:sz w:val="32"/>
          <w:szCs w:val="32"/>
        </w:rPr>
      </w:pPr>
      <w:bookmarkStart w:id="145" w:name="_Toc11303"/>
      <w:bookmarkStart w:id="146" w:name="_Toc4548"/>
      <w:bookmarkStart w:id="147" w:name="_Toc22298"/>
      <w:r>
        <w:rPr>
          <w:rFonts w:hint="eastAsia" w:ascii="Times New Roman" w:hAnsi="Times New Roman" w:cs="Times New Roman"/>
          <w:b w:val="0"/>
          <w:bCs w:val="0"/>
          <w:sz w:val="32"/>
          <w:szCs w:val="32"/>
          <w:lang w:val="en-US" w:eastAsia="zh-CN"/>
        </w:rPr>
        <w:t>九、</w:t>
      </w:r>
      <w:r>
        <w:rPr>
          <w:rFonts w:ascii="Times New Roman" w:hAnsi="Times New Roman" w:cs="Times New Roman"/>
          <w:b w:val="0"/>
          <w:bCs w:val="0"/>
          <w:sz w:val="32"/>
          <w:szCs w:val="32"/>
        </w:rPr>
        <w:t>行动计划</w:t>
      </w:r>
      <w:bookmarkEnd w:id="145"/>
      <w:bookmarkEnd w:id="146"/>
      <w:bookmarkEnd w:id="147"/>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200"/>
        <w:textAlignment w:val="auto"/>
        <w:rPr>
          <w:rFonts w:cs="Times New Roman"/>
        </w:rPr>
      </w:pPr>
      <w:bookmarkStart w:id="148" w:name="_Toc2024"/>
      <w:bookmarkStart w:id="149" w:name="_Toc28715"/>
      <w:bookmarkStart w:id="150" w:name="_Toc19768"/>
      <w:r>
        <w:rPr>
          <w:rFonts w:hint="eastAsia" w:cs="Times New Roman"/>
          <w:lang w:eastAsia="zh-CN"/>
        </w:rPr>
        <w:t>（</w:t>
      </w:r>
      <w:r>
        <w:rPr>
          <w:rFonts w:hint="eastAsia" w:cs="Times New Roman"/>
          <w:lang w:val="en-US" w:eastAsia="zh-CN"/>
        </w:rPr>
        <w:t>一</w:t>
      </w:r>
      <w:r>
        <w:rPr>
          <w:rFonts w:hint="eastAsia" w:cs="Times New Roman"/>
          <w:lang w:eastAsia="zh-CN"/>
        </w:rPr>
        <w:t>）</w:t>
      </w:r>
      <w:r>
        <w:rPr>
          <w:rFonts w:cs="Times New Roman"/>
        </w:rPr>
        <w:t>消费促升级行动</w:t>
      </w:r>
      <w:bookmarkEnd w:id="148"/>
      <w:bookmarkEnd w:id="149"/>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lang w:eastAsia="zh-Hans"/>
        </w:rPr>
      </w:pPr>
      <w:r>
        <w:rPr>
          <w:rFonts w:hint="eastAsia" w:ascii="仿宋_GB2312" w:hAnsi="仿宋_GB2312" w:eastAsia="仿宋_GB2312" w:cs="仿宋_GB2312"/>
          <w:szCs w:val="32"/>
          <w:lang w:bidi="ar"/>
        </w:rPr>
        <w:t>加快完善消费促升级体制机制，进一步改善消费环境，发挥消费基础性作用，全力促进消费提质升级，</w:t>
      </w:r>
      <w:r>
        <w:rPr>
          <w:rFonts w:hint="eastAsia" w:ascii="仿宋_GB2312" w:hAnsi="仿宋_GB2312" w:eastAsia="仿宋_GB2312" w:cs="仿宋_GB2312"/>
        </w:rPr>
        <w:t>提升生活服务消费品质，培育发展定制消费、智能消费、体验消费，通过发放消费券、优惠券，促进消费回升和潜力释放。</w:t>
      </w:r>
      <w:r>
        <w:rPr>
          <w:rFonts w:hint="eastAsia" w:ascii="仿宋_GB2312" w:hAnsi="仿宋_GB2312" w:eastAsia="仿宋_GB2312" w:cs="仿宋_GB2312"/>
          <w:szCs w:val="32"/>
          <w:lang w:bidi="ar"/>
        </w:rPr>
        <w:t>大力推进服务业集聚区建设，着力打造新型商业综合体、特色商业街区、消费体验中心、运动小镇、康养小镇等新兴服务业载体，建设夜间经济示范街区，丰富夜间经济消费业态，打造荥经特色夜间经济集聚区、夜游购物示范街区、夜间美食示范街区。力争到2025年</w:t>
      </w:r>
      <w:r>
        <w:rPr>
          <w:rFonts w:hint="eastAsia" w:ascii="仿宋_GB2312" w:hAnsi="仿宋_GB2312" w:eastAsia="仿宋_GB2312" w:cs="仿宋_GB2312"/>
          <w:szCs w:val="32"/>
          <w:lang w:eastAsia="zh-Hans" w:bidi="ar"/>
        </w:rPr>
        <w:t>建设</w:t>
      </w:r>
      <w:r>
        <w:rPr>
          <w:rFonts w:hint="eastAsia" w:ascii="仿宋_GB2312" w:hAnsi="仿宋_GB2312" w:eastAsia="仿宋_GB2312" w:cs="仿宋_GB2312"/>
          <w:szCs w:val="32"/>
          <w:lang w:bidi="ar"/>
        </w:rPr>
        <w:t>特色示范街区3条，</w:t>
      </w:r>
      <w:r>
        <w:rPr>
          <w:rFonts w:hint="eastAsia" w:ascii="仿宋_GB2312" w:hAnsi="仿宋_GB2312" w:eastAsia="仿宋_GB2312" w:cs="仿宋_GB2312"/>
          <w:szCs w:val="32"/>
          <w:lang w:eastAsia="zh-Hans" w:bidi="ar"/>
        </w:rPr>
        <w:t>创建</w:t>
      </w:r>
      <w:r>
        <w:rPr>
          <w:rFonts w:hint="eastAsia" w:ascii="仿宋_GB2312" w:hAnsi="仿宋_GB2312" w:eastAsia="仿宋_GB2312" w:cs="仿宋_GB2312"/>
          <w:szCs w:val="32"/>
          <w:lang w:bidi="ar"/>
        </w:rPr>
        <w:t>省级特色示范街区1条</w:t>
      </w:r>
      <w:r>
        <w:rPr>
          <w:rFonts w:hint="eastAsia" w:ascii="仿宋_GB2312" w:hAnsi="仿宋_GB2312" w:eastAsia="仿宋_GB2312" w:cs="仿宋_GB2312"/>
          <w:szCs w:val="32"/>
          <w:lang w:eastAsia="zh-Hans" w:bidi="ar"/>
        </w:rPr>
        <w:t>。</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7D7D7" w:themeFill="background1" w:themeFillShade="D8"/>
          </w:tcPr>
          <w:p>
            <w:pPr>
              <w:spacing w:line="240" w:lineRule="auto"/>
              <w:ind w:firstLine="0" w:firstLineChars="0"/>
              <w:jc w:val="center"/>
              <w:rPr>
                <w:rFonts w:hint="eastAsia" w:ascii="宋体" w:hAnsi="宋体" w:eastAsia="宋体" w:cs="宋体"/>
                <w:sz w:val="24"/>
                <w:szCs w:val="24"/>
                <w:lang w:bidi="ar"/>
              </w:rPr>
            </w:pPr>
            <w:r>
              <w:rPr>
                <w:rFonts w:hint="eastAsia" w:ascii="黑体" w:hAnsi="黑体" w:eastAsia="黑体" w:cs="黑体"/>
                <w:b/>
                <w:bCs/>
                <w:sz w:val="24"/>
                <w:szCs w:val="24"/>
                <w:shd w:val="clear" w:color="auto" w:fill="D7D7D7" w:themeFill="background1" w:themeFillShade="D8"/>
                <w:lang w:bidi="ar"/>
              </w:rPr>
              <w:t>专题1</w:t>
            </w:r>
            <w:r>
              <w:rPr>
                <w:rFonts w:hint="eastAsia" w:ascii="黑体" w:hAnsi="黑体" w:eastAsia="黑体" w:cs="黑体"/>
                <w:b/>
                <w:bCs/>
                <w:sz w:val="24"/>
                <w:szCs w:val="24"/>
                <w:shd w:val="clear" w:color="auto" w:fill="D7D7D7" w:themeFill="background1" w:themeFillShade="D8"/>
                <w:lang w:val="en-US" w:eastAsia="zh-CN" w:bidi="ar"/>
              </w:rPr>
              <w:t xml:space="preserve">  </w:t>
            </w:r>
            <w:r>
              <w:rPr>
                <w:rFonts w:hint="eastAsia" w:ascii="黑体" w:hAnsi="黑体" w:eastAsia="黑体" w:cs="黑体"/>
                <w:b/>
                <w:bCs/>
                <w:sz w:val="24"/>
                <w:szCs w:val="24"/>
                <w:shd w:val="clear" w:color="auto" w:fill="D7D7D7" w:themeFill="background1" w:themeFillShade="D8"/>
                <w:lang w:bidi="ar"/>
              </w:rPr>
              <w:t>消费促升级行动重点工作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1.抓好电子商务促消费升级</w:t>
            </w:r>
            <w:r>
              <w:rPr>
                <w:rFonts w:hint="eastAsia" w:ascii="仿宋_GB2312" w:hAnsi="仿宋_GB2312" w:eastAsia="仿宋_GB2312" w:cs="仿宋_GB2312"/>
                <w:sz w:val="24"/>
                <w:szCs w:val="24"/>
                <w:lang w:bidi="ar"/>
              </w:rPr>
              <w:t>。鼓励发展“电子商务+直播平台”等新业态新模式，引导市场经营主体借助微信、抖音、快手等平台，大力发展公众号、头条号、小视频、直播带货、网红打卡等新型网络销售模式，让电商成为县域经济新的增长点。</w:t>
            </w:r>
          </w:p>
          <w:p>
            <w:pPr>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2.加强文化旅游促消费升级</w:t>
            </w:r>
            <w:r>
              <w:rPr>
                <w:rFonts w:hint="eastAsia" w:ascii="仿宋_GB2312" w:hAnsi="仿宋_GB2312" w:eastAsia="仿宋_GB2312" w:cs="仿宋_GB2312"/>
                <w:sz w:val="24"/>
                <w:szCs w:val="24"/>
                <w:lang w:bidi="ar"/>
              </w:rPr>
              <w:t>。加快全域旅游体系建设，以四大文旅园区建设为核心，景区、酒店、星级农家乐等为载体，实施旅游软硬件标准化提升，健全城乡旅游服务标准化体系，突出亮点，提升核心竞争力。促进全域旅游与荥经特色文化深度融合，充分挖掘荥经黑砂文化、红色文化、熊猫文化、非遗文化等资源，将文化元素植入旅游各个环节，彰显荥经旅游的独特魅力。</w:t>
            </w:r>
          </w:p>
          <w:p>
            <w:pPr>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3.举办节庆会展促消费升级</w:t>
            </w:r>
            <w:r>
              <w:rPr>
                <w:rFonts w:hint="eastAsia" w:ascii="仿宋_GB2312" w:hAnsi="仿宋_GB2312" w:eastAsia="仿宋_GB2312" w:cs="仿宋_GB2312"/>
                <w:sz w:val="24"/>
                <w:szCs w:val="24"/>
                <w:lang w:bidi="ar"/>
              </w:rPr>
              <w:t>。精心举办四川花卉（果类）生态旅游节、鸽子花生态旅游节、名特优商品展、年货节等大型节会，推动消费回暖。启动“荥城里·悦生活”系列活动，鼓励行业协会、商贸企业积极参与并开展形式多样的促销活动，着力推动汽车、餐饮、购物等消费增长。抓好市场拓展活动，积极组织企业参加“惠民购物全川行动”“川货全国行”等知名会展活动，推动会展经济稳步发展。</w:t>
            </w:r>
          </w:p>
          <w:p>
            <w:pPr>
              <w:pStyle w:val="30"/>
              <w:numPr>
                <w:ilvl w:val="255"/>
                <w:numId w:val="0"/>
              </w:numPr>
              <w:spacing w:line="440" w:lineRule="exact"/>
              <w:ind w:firstLine="481" w:firstLineChars="200"/>
              <w:rPr>
                <w:rFonts w:hint="eastAsia" w:ascii="宋体" w:hAnsi="宋体" w:eastAsia="宋体" w:cs="宋体"/>
                <w:sz w:val="24"/>
                <w:szCs w:val="24"/>
                <w:lang w:bidi="ar"/>
              </w:rPr>
            </w:pPr>
            <w:r>
              <w:rPr>
                <w:rFonts w:hint="eastAsia" w:ascii="仿宋_GB2312" w:hAnsi="仿宋_GB2312" w:eastAsia="仿宋_GB2312" w:cs="仿宋_GB2312"/>
                <w:b/>
                <w:sz w:val="24"/>
                <w:szCs w:val="24"/>
                <w:lang w:bidi="ar"/>
              </w:rPr>
              <w:t>4.推动项目建设促消费升级</w:t>
            </w:r>
            <w:r>
              <w:rPr>
                <w:rFonts w:hint="eastAsia" w:ascii="仿宋_GB2312" w:hAnsi="仿宋_GB2312" w:eastAsia="仿宋_GB2312" w:cs="仿宋_GB2312"/>
                <w:sz w:val="24"/>
                <w:szCs w:val="24"/>
                <w:lang w:bidi="ar"/>
              </w:rPr>
              <w:t>。培育县城消费集聚区，围绕财富中心商业购物集聚区、鸿林新城特色餐饮集聚区、尚品国际休闲文化集聚区、德能新城商贸流通集聚区四大商贸集聚区项目建设，扩大商贸辐射效应，提升区域消费承载能力和服务水平。</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cs="Times New Roman"/>
        </w:rPr>
      </w:pPr>
      <w:bookmarkStart w:id="151" w:name="_Toc15625"/>
      <w:bookmarkStart w:id="152" w:name="_Toc3076"/>
      <w:r>
        <w:rPr>
          <w:rFonts w:hint="eastAsia" w:cs="Times New Roman"/>
          <w:lang w:eastAsia="zh-CN"/>
        </w:rPr>
        <w:t>（</w:t>
      </w:r>
      <w:r>
        <w:rPr>
          <w:rFonts w:hint="eastAsia" w:cs="Times New Roman"/>
          <w:lang w:val="en-US" w:eastAsia="zh-CN"/>
        </w:rPr>
        <w:t>二</w:t>
      </w:r>
      <w:r>
        <w:rPr>
          <w:rFonts w:hint="eastAsia" w:cs="Times New Roman"/>
          <w:lang w:eastAsia="zh-CN"/>
        </w:rPr>
        <w:t>）</w:t>
      </w:r>
      <w:r>
        <w:rPr>
          <w:rFonts w:cs="Times New Roman"/>
        </w:rPr>
        <w:t>重点企业培育行动</w:t>
      </w:r>
      <w:bookmarkEnd w:id="151"/>
      <w:bookmarkEnd w:id="152"/>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szCs w:val="32"/>
          <w:lang w:bidi="ar"/>
        </w:rPr>
      </w:pPr>
      <w:r>
        <w:rPr>
          <w:rFonts w:hint="eastAsia" w:ascii="仿宋_GB2312" w:hAnsi="仿宋_GB2312" w:eastAsia="仿宋_GB2312" w:cs="仿宋_GB2312"/>
          <w:szCs w:val="32"/>
          <w:lang w:bidi="ar"/>
        </w:rPr>
        <w:t>通过进一步落实荥经县拥有的</w:t>
      </w:r>
      <w:r>
        <w:rPr>
          <w:rFonts w:hint="eastAsia" w:ascii="仿宋_GB2312" w:hAnsi="仿宋_GB2312" w:eastAsia="仿宋_GB2312" w:cs="仿宋_GB2312"/>
          <w:szCs w:val="32"/>
        </w:rPr>
        <w:t>国家、省、市优惠政策优势，积极</w:t>
      </w:r>
      <w:r>
        <w:rPr>
          <w:rFonts w:hint="eastAsia" w:ascii="仿宋_GB2312" w:hAnsi="仿宋_GB2312" w:eastAsia="仿宋_GB2312" w:cs="仿宋_GB2312"/>
          <w:szCs w:val="32"/>
          <w:lang w:bidi="ar"/>
        </w:rPr>
        <w:t>出台县级支持服务业发展相关激励政策，</w:t>
      </w:r>
      <w:r>
        <w:rPr>
          <w:rFonts w:hint="eastAsia" w:ascii="仿宋_GB2312" w:hAnsi="仿宋_GB2312" w:eastAsia="仿宋_GB2312" w:cs="仿宋_GB2312"/>
          <w:szCs w:val="32"/>
        </w:rPr>
        <w:t>在税收、土地等方面给予企业优惠，以增强对服务业企业的吸引力，以及推服务业动企业集聚的影响力</w:t>
      </w:r>
      <w:r>
        <w:rPr>
          <w:rFonts w:hint="eastAsia" w:ascii="仿宋_GB2312" w:hAnsi="仿宋_GB2312" w:eastAsia="仿宋_GB2312" w:cs="仿宋_GB2312"/>
          <w:szCs w:val="32"/>
          <w:lang w:bidi="ar"/>
        </w:rPr>
        <w:t>。深入实施“个转企、小升规、规壮大”的梯度培育机制，重点抓好集聚一批、引进一批、扶持一批、分离一批、培育一批的服务业“五个一批”工作。重点培育以“鸿泽贸易”“姜氏古茶”“荥泰茶叶”“牛背清泉”“龙苍沟农业专业合作社”“博润达”“中兴江城建材”等为代表的入规上限企业。力争到2025年，新增“规上”“限上”服务业单位65户，在库企业达120家。</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7D7D7" w:themeFill="background1" w:themeFillShade="D8"/>
          </w:tcPr>
          <w:p>
            <w:pPr>
              <w:spacing w:line="240" w:lineRule="auto"/>
              <w:ind w:firstLine="0" w:firstLineChars="0"/>
              <w:jc w:val="center"/>
              <w:rPr>
                <w:rFonts w:hint="eastAsia" w:ascii="宋体" w:hAnsi="宋体" w:eastAsia="宋体" w:cs="宋体"/>
                <w:sz w:val="24"/>
                <w:szCs w:val="24"/>
                <w:lang w:bidi="ar"/>
              </w:rPr>
            </w:pPr>
            <w:r>
              <w:rPr>
                <w:rFonts w:hint="eastAsia" w:ascii="黑体" w:hAnsi="黑体" w:eastAsia="黑体" w:cs="黑体"/>
                <w:b/>
                <w:bCs/>
                <w:sz w:val="24"/>
                <w:szCs w:val="24"/>
                <w:lang w:bidi="ar"/>
              </w:rPr>
              <w:t>专题2</w:t>
            </w:r>
            <w:r>
              <w:rPr>
                <w:rFonts w:hint="eastAsia" w:ascii="黑体" w:hAnsi="黑体" w:eastAsia="黑体" w:cs="黑体"/>
                <w:b/>
                <w:bCs/>
                <w:sz w:val="24"/>
                <w:szCs w:val="24"/>
                <w:lang w:val="en-US" w:eastAsia="zh-CN" w:bidi="ar"/>
              </w:rPr>
              <w:t xml:space="preserve">  </w:t>
            </w:r>
            <w:r>
              <w:rPr>
                <w:rFonts w:hint="eastAsia" w:ascii="黑体" w:hAnsi="黑体" w:eastAsia="黑体" w:cs="黑体"/>
                <w:b/>
                <w:bCs/>
                <w:sz w:val="24"/>
                <w:szCs w:val="24"/>
                <w:lang w:bidi="ar"/>
              </w:rPr>
              <w:t>重点企业培育行动重点工作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30"/>
              <w:numPr>
                <w:ilvl w:val="255"/>
                <w:numId w:val="0"/>
              </w:numPr>
              <w:spacing w:line="440" w:lineRule="exact"/>
              <w:ind w:firstLine="481"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333333"/>
                <w:sz w:val="24"/>
                <w:szCs w:val="24"/>
                <w:shd w:val="clear" w:color="auto" w:fill="FFFFFF"/>
                <w:lang w:bidi="ar"/>
              </w:rPr>
              <w:t>1.</w:t>
            </w:r>
            <w:r>
              <w:rPr>
                <w:rFonts w:hint="eastAsia" w:ascii="仿宋_GB2312" w:hAnsi="仿宋_GB2312" w:eastAsia="仿宋_GB2312" w:cs="仿宋_GB2312"/>
                <w:b/>
                <w:sz w:val="24"/>
                <w:szCs w:val="24"/>
              </w:rPr>
              <w:t>建立重点企业全方位培育库</w:t>
            </w:r>
            <w:r>
              <w:rPr>
                <w:rFonts w:hint="eastAsia" w:ascii="仿宋_GB2312" w:hAnsi="仿宋_GB2312" w:eastAsia="仿宋_GB2312" w:cs="仿宋_GB2312"/>
                <w:sz w:val="24"/>
                <w:szCs w:val="24"/>
              </w:rPr>
              <w:t>。通过街道、各乡镇和行业主管部门加快从新引进企业、本土企业、个转企三个方面入手，建立重点企业全方位培育库。定期对全县新注册全口径服务业企业名录进行登记报送，建立增量企业培育库；定期统计年营业收入达到上规上限标准的服务业企业名录并反馈报送上级部门，建立重点企业孵化库；全面加快摸排县域城市综合体、特色街区、商务楼宇、各类市场内有望转规的“个转企”户数，建立潜力企业转化库。</w:t>
            </w:r>
          </w:p>
          <w:p>
            <w:pPr>
              <w:pStyle w:val="30"/>
              <w:numPr>
                <w:ilvl w:val="255"/>
                <w:numId w:val="0"/>
              </w:numPr>
              <w:spacing w:line="440" w:lineRule="exact"/>
              <w:ind w:firstLine="481"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2.开展立体化帮扶指导</w:t>
            </w:r>
            <w:r>
              <w:rPr>
                <w:rFonts w:hint="eastAsia" w:ascii="仿宋_GB2312" w:hAnsi="仿宋_GB2312" w:eastAsia="仿宋_GB2312" w:cs="仿宋_GB2312"/>
                <w:sz w:val="24"/>
                <w:szCs w:val="24"/>
              </w:rPr>
              <w:t>。建立“小升规”企业跟踪培育机制。全县各街道、乡镇及行业部门定期摸排三类培育库内企业经营情况，努力协调化解企业经营难题，帮助企业尽快达到规上、限上企业标准并及时纳入统计、高质量完成数据报送工作；各行业主管部门根据部门职责及时加强本行业规上企业的培育指导，定期跟踪推进培育情况并协调解决相关难题。</w:t>
            </w:r>
          </w:p>
          <w:p>
            <w:pPr>
              <w:pStyle w:val="30"/>
              <w:numPr>
                <w:ilvl w:val="255"/>
                <w:numId w:val="0"/>
              </w:numPr>
              <w:spacing w:line="440" w:lineRule="exact"/>
              <w:ind w:firstLine="481" w:firstLineChars="200"/>
              <w:rPr>
                <w:rFonts w:hint="eastAsia" w:ascii="宋体" w:hAnsi="宋体" w:eastAsia="宋体" w:cs="宋体"/>
                <w:sz w:val="24"/>
                <w:szCs w:val="24"/>
                <w:lang w:bidi="ar"/>
              </w:rPr>
            </w:pPr>
            <w:r>
              <w:rPr>
                <w:rFonts w:hint="eastAsia" w:ascii="仿宋_GB2312" w:hAnsi="仿宋_GB2312" w:eastAsia="仿宋_GB2312" w:cs="仿宋_GB2312"/>
                <w:b/>
                <w:sz w:val="24"/>
                <w:szCs w:val="24"/>
                <w:lang w:bidi="ar"/>
              </w:rPr>
              <w:t>3.实施多角度政策激励</w:t>
            </w:r>
            <w:r>
              <w:rPr>
                <w:rFonts w:hint="eastAsia" w:ascii="仿宋_GB2312" w:hAnsi="仿宋_GB2312" w:eastAsia="仿宋_GB2312" w:cs="仿宋_GB2312"/>
                <w:sz w:val="24"/>
                <w:szCs w:val="24"/>
                <w:lang w:bidi="ar"/>
              </w:rPr>
              <w:t>。</w:t>
            </w:r>
            <w:r>
              <w:rPr>
                <w:rFonts w:hint="eastAsia" w:ascii="仿宋_GB2312" w:hAnsi="仿宋_GB2312" w:eastAsia="仿宋_GB2312" w:cs="仿宋_GB2312"/>
                <w:sz w:val="24"/>
                <w:szCs w:val="24"/>
              </w:rPr>
              <w:t>提供融资便利，引导全县银行金融机构对年度新增的规上服务业企业，合理确定利率水平和贷款期限，拓宽抵押担保物范围。提供财政奖励，对新引进、新设立且认定为规上的服务业企业，按其年度对荥经县财政贡献按标准给予奖励；对经“个转企”新设立且认定为规上的服务业企业，按其年度对荥经县财政贡献比上一年度的增量按标准给予奖励；对经“小升规”的服务业企业，按其年度对地方贡献比上一年度的增量按标准给予奖励。</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hint="eastAsia" w:ascii="楷体_GB2312" w:hAnsi="楷体_GB2312" w:eastAsia="楷体_GB2312" w:cs="楷体_GB2312"/>
        </w:rPr>
      </w:pPr>
      <w:bookmarkStart w:id="153" w:name="_Toc17922"/>
      <w:bookmarkStart w:id="154" w:name="_Toc875"/>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三</w:t>
      </w:r>
      <w:r>
        <w:rPr>
          <w:rFonts w:hint="eastAsia" w:ascii="楷体_GB2312" w:hAnsi="楷体_GB2312" w:eastAsia="楷体_GB2312" w:cs="楷体_GB2312"/>
          <w:lang w:eastAsia="zh-CN"/>
        </w:rPr>
        <w:t>）</w:t>
      </w:r>
      <w:r>
        <w:rPr>
          <w:rFonts w:hint="eastAsia" w:ascii="楷体_GB2312" w:hAnsi="楷体_GB2312" w:eastAsia="楷体_GB2312" w:cs="楷体_GB2312"/>
        </w:rPr>
        <w:t>产业融合发展行动</w:t>
      </w:r>
      <w:bookmarkEnd w:id="153"/>
      <w:bookmarkEnd w:id="154"/>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rPr>
      </w:pPr>
      <w:r>
        <w:rPr>
          <w:rFonts w:hint="eastAsia" w:ascii="仿宋_GB2312" w:hAnsi="仿宋_GB2312" w:eastAsia="仿宋_GB2312" w:cs="仿宋_GB2312"/>
        </w:rPr>
        <w:t>推动全县现代服务业与新型建材制造业融合发展，围绕新型制造业大力发展服务型制造、智能制造、绿色制造，鼓励利用工业厂房、仓储用房等存量房产、建设用地资源兴办服务业项目。推动全县现代服务业与现代农业融合发展，围绕重点培育的现代茶产业园区、农旅融合园区等载体，大力发展乡村旅游和农村电商。推动现代服务业内部商业贸易与物流、文化与旅游康养等融合发展，发挥融合集聚效应。推动现代服务业与现代农业融合发展，鼓励条件成熟的“公司+专合社+农户”经营模式设立独立企业法人的销售公司，引导农业生产向生产服务一体化转型发展。推进农旅融合，支持发展乡村旅游，到2025年培育农旅融合特色项目10个。</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7D7D7" w:themeFill="background1" w:themeFillShade="D8"/>
          </w:tcPr>
          <w:p>
            <w:pPr>
              <w:spacing w:line="240" w:lineRule="auto"/>
              <w:ind w:firstLine="0" w:firstLineChars="0"/>
              <w:jc w:val="center"/>
              <w:rPr>
                <w:rFonts w:hint="eastAsia" w:ascii="宋体" w:hAnsi="宋体" w:eastAsia="宋体" w:cs="宋体"/>
                <w:sz w:val="24"/>
                <w:szCs w:val="24"/>
                <w:lang w:bidi="ar"/>
              </w:rPr>
            </w:pPr>
            <w:r>
              <w:rPr>
                <w:rFonts w:hint="eastAsia" w:ascii="黑体" w:hAnsi="黑体" w:eastAsia="黑体" w:cs="黑体"/>
                <w:b/>
                <w:bCs/>
                <w:sz w:val="24"/>
                <w:szCs w:val="24"/>
                <w:lang w:bidi="ar"/>
              </w:rPr>
              <w:t>专题3</w:t>
            </w:r>
            <w:r>
              <w:rPr>
                <w:rFonts w:hint="eastAsia" w:ascii="黑体" w:hAnsi="黑体" w:eastAsia="黑体" w:cs="黑体"/>
                <w:b/>
                <w:bCs/>
                <w:sz w:val="24"/>
                <w:szCs w:val="24"/>
                <w:lang w:val="en-US" w:eastAsia="zh-CN" w:bidi="ar"/>
              </w:rPr>
              <w:t xml:space="preserve">  </w:t>
            </w:r>
            <w:r>
              <w:rPr>
                <w:rFonts w:hint="eastAsia" w:ascii="黑体" w:hAnsi="黑体" w:eastAsia="黑体" w:cs="黑体"/>
                <w:b/>
                <w:bCs/>
                <w:sz w:val="24"/>
                <w:szCs w:val="24"/>
                <w:lang w:bidi="ar"/>
              </w:rPr>
              <w:t>产业融合发展行动重点工作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30"/>
              <w:tabs>
                <w:tab w:val="left" w:pos="312"/>
              </w:tabs>
              <w:spacing w:line="440" w:lineRule="exact"/>
              <w:ind w:firstLine="482"/>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1.培育产业融合发展新业态新模式</w:t>
            </w:r>
            <w:r>
              <w:rPr>
                <w:rFonts w:hint="eastAsia" w:ascii="仿宋_GB2312" w:hAnsi="仿宋_GB2312" w:eastAsia="仿宋_GB2312" w:cs="仿宋_GB2312"/>
                <w:sz w:val="24"/>
                <w:szCs w:val="24"/>
                <w:lang w:bidi="ar"/>
              </w:rPr>
              <w:t>。促进文化旅游与工农业融合，支持牛背山锰矿采矿遗址、省级现代茶产业园区等有条件的工业遗产和工业企业、农业园区、基地等，挖掘历史文化底蕴，利用自身特色文化，开发集生产展示、观光体验、教育科普等于一体的旅游产品，厚植工农业文化，弘扬匠心精神。促进现代物流和制造业融合，围绕装配式建筑和玄武岩纤维产业园区、石材产业园区、微晶玻璃产业园区，鼓励物流、快递企业融入制造业采购、生产、仓储、分销、配送等环节，持续推进降本增效。优化节点布局，完善配套设施，加强物流资源配置共享。鼓励物流外包，发展零库存管理、生产线边物流等新型业务。促进电子商务与农业融合，围绕荥经“4+4”农业产业体系，推动农村电商发展，助力农产品上行。推动电商扶贫，按照政府引导、企业主体、市场运作、贫困户参与的思路，鼓励贫困户参与到电商产业链中，将资源优势转化为经济优势，推动脱贫致富。发展IP服务衍生，鼓励电子商务、现代物流、文化旅游等服务企业，发挥大数据、技术、渠道、创意等要素优势，通过委托制造、IP品牌授权等方式向制造环节拓展。推进建设智能制造，加快发展智能化解决方案服务，探索运用新一代信息技术、人工智能等应用服务，实现数据跨系统采集、传输、分析、应用，优化生产流程，提高效率和质量，大力发展服务型制造。</w:t>
            </w:r>
          </w:p>
          <w:p>
            <w:pPr>
              <w:pStyle w:val="30"/>
              <w:tabs>
                <w:tab w:val="left" w:pos="312"/>
              </w:tabs>
              <w:spacing w:line="440" w:lineRule="exact"/>
              <w:ind w:firstLine="482"/>
              <w:rPr>
                <w:rFonts w:hint="eastAsia" w:ascii="宋体" w:hAnsi="宋体" w:eastAsia="宋体" w:cs="宋体"/>
                <w:sz w:val="24"/>
                <w:szCs w:val="24"/>
                <w:lang w:bidi="ar"/>
              </w:rPr>
            </w:pPr>
            <w:r>
              <w:rPr>
                <w:rFonts w:hint="eastAsia" w:ascii="仿宋_GB2312" w:hAnsi="仿宋_GB2312" w:eastAsia="仿宋_GB2312" w:cs="仿宋_GB2312"/>
                <w:b/>
                <w:sz w:val="24"/>
                <w:szCs w:val="24"/>
                <w:lang w:bidi="ar"/>
              </w:rPr>
              <w:t>2.探索重点产业重点领域融合发展新路径</w:t>
            </w:r>
            <w:r>
              <w:rPr>
                <w:rFonts w:hint="eastAsia" w:ascii="仿宋_GB2312" w:hAnsi="仿宋_GB2312" w:eastAsia="仿宋_GB2312" w:cs="仿宋_GB2312"/>
                <w:sz w:val="24"/>
                <w:szCs w:val="24"/>
                <w:lang w:bidi="ar"/>
              </w:rPr>
              <w:t>。推动地产服务和文旅、康养深度融合，注重差异化、品质化、绿色化消费需求，创新发展旅游地产、康养地产。围绕“一园一城三山三廊”全域文旅发展新格局以及三大康养产业带，打造休闲农庄、酒店、民宿、度假区、休闲小镇等各类形式的旅游地产和康养地产，满足观光休闲、文化体验、森林康养等消费需求，发展规模化、个性化地产服务定制。推进文旅、康养与商业贸易深度融合，在牛背山景区、龙苍沟国家森林公园、大熊猫国家公园、云峰山、中国黑砂文化旅游产业园、茶马古道等多处的文旅、康养基地打造特色街区，推广“书店+咖啡+茶吧+文创+零售+互联网”等新型文旅康商融合业态。</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hint="eastAsia" w:ascii="仿宋_GB2312" w:hAnsi="仿宋_GB2312" w:eastAsia="仿宋_GB2312" w:cs="仿宋_GB2312"/>
        </w:rPr>
      </w:pPr>
      <w:bookmarkStart w:id="155" w:name="_Toc5979"/>
      <w:bookmarkStart w:id="156" w:name="_Toc545"/>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四</w:t>
      </w:r>
      <w:r>
        <w:rPr>
          <w:rFonts w:hint="eastAsia" w:ascii="楷体_GB2312" w:hAnsi="楷体_GB2312" w:eastAsia="楷体_GB2312" w:cs="楷体_GB2312"/>
          <w:lang w:eastAsia="zh-CN"/>
        </w:rPr>
        <w:t>）</w:t>
      </w:r>
      <w:r>
        <w:rPr>
          <w:rFonts w:hint="eastAsia" w:ascii="楷体_GB2312" w:hAnsi="楷体_GB2312" w:eastAsia="楷体_GB2312" w:cs="楷体_GB2312"/>
        </w:rPr>
        <w:t>服务业集聚区培育行动</w:t>
      </w:r>
      <w:bookmarkEnd w:id="155"/>
      <w:bookmarkEnd w:id="156"/>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rPr>
        <w:t>围绕荥经县“3+3”现代服务业体系建设一批示范效应突出、影响力强的现代服务业集聚区。实施现代服务业集聚发展工程，依托荥经县区位交通优势、文旅资源优势、农特产品优势等，打造现代服务业高质量发展引领示范区，搭建公共服务和技术平台，实现传统服务业向现代服务业的转变。重点围绕森林康养、现代物流、商业贸易、总部经济等产业优势和发展重点，培育建设一批集聚度高、带动性强、具有示范效应的现代服务业集聚区，力争到2025年创建市级现代服务业集聚区3个，创建省级现代服务业集聚区1个。</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D7D7D7" w:themeFill="background1" w:themeFillShade="D8"/>
            <w:vAlign w:val="top"/>
          </w:tcPr>
          <w:p>
            <w:pPr>
              <w:spacing w:line="240" w:lineRule="auto"/>
              <w:ind w:firstLine="0" w:firstLineChars="0"/>
              <w:jc w:val="center"/>
              <w:rPr>
                <w:rFonts w:hint="eastAsia" w:ascii="宋体" w:hAnsi="宋体" w:eastAsia="宋体" w:cs="宋体"/>
                <w:sz w:val="24"/>
                <w:szCs w:val="24"/>
                <w:lang w:bidi="ar"/>
              </w:rPr>
            </w:pPr>
            <w:r>
              <w:rPr>
                <w:rFonts w:hint="eastAsia" w:ascii="黑体" w:hAnsi="黑体" w:eastAsia="黑体" w:cs="黑体"/>
                <w:b/>
                <w:bCs/>
                <w:sz w:val="24"/>
                <w:szCs w:val="24"/>
                <w:lang w:bidi="ar"/>
              </w:rPr>
              <w:t>专题4</w:t>
            </w:r>
            <w:r>
              <w:rPr>
                <w:rFonts w:hint="eastAsia" w:ascii="黑体" w:hAnsi="黑体" w:eastAsia="黑体" w:cs="黑体"/>
                <w:b/>
                <w:bCs/>
                <w:sz w:val="24"/>
                <w:szCs w:val="24"/>
                <w:lang w:val="en-US" w:eastAsia="zh-CN" w:bidi="ar"/>
              </w:rPr>
              <w:t xml:space="preserve">  </w:t>
            </w:r>
            <w:r>
              <w:rPr>
                <w:rFonts w:hint="eastAsia" w:ascii="黑体" w:hAnsi="黑体" w:eastAsia="黑体" w:cs="黑体"/>
                <w:b/>
                <w:bCs/>
                <w:sz w:val="24"/>
                <w:szCs w:val="24"/>
                <w:lang w:bidi="ar"/>
              </w:rPr>
              <w:t>服务业集聚区培育行动重点工作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tabs>
                <w:tab w:val="left" w:pos="0"/>
              </w:tabs>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1.统一规划</w:t>
            </w:r>
            <w:r>
              <w:rPr>
                <w:rFonts w:hint="eastAsia" w:ascii="仿宋_GB2312" w:hAnsi="仿宋_GB2312" w:eastAsia="仿宋_GB2312" w:cs="仿宋_GB2312"/>
                <w:sz w:val="24"/>
                <w:szCs w:val="24"/>
                <w:lang w:bidi="ar"/>
              </w:rPr>
              <w:t>。加强全县服务业集聚区顶层设计，根据荥经县服务业发展定位、产业基础和区位优势，重点规划商业贸易、文体旅游、医疗康养服务、川派餐饮服务、现代物流等行业为主导产业的服务业集聚区，对于列入规划的服务业集聚区，抓紧逐个编制详细建设规划，进一步明确集聚区的四至范围、功能定位、建设内容、建设方案等。</w:t>
            </w:r>
          </w:p>
          <w:p>
            <w:pPr>
              <w:tabs>
                <w:tab w:val="left" w:pos="0"/>
              </w:tabs>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2.推动建设</w:t>
            </w:r>
            <w:r>
              <w:rPr>
                <w:rFonts w:hint="eastAsia" w:ascii="仿宋_GB2312" w:hAnsi="仿宋_GB2312" w:eastAsia="仿宋_GB2312" w:cs="仿宋_GB2312"/>
                <w:sz w:val="24"/>
                <w:szCs w:val="24"/>
                <w:lang w:bidi="ar"/>
              </w:rPr>
              <w:t>。对纳入规划的服务业集聚区，优先建设用地供应，优先专项资金安排，优先基础设施建设，优先公共服务配套，对服务业集聚区实行分类扶持，可按照“一区一策”模式，精准施策。加大服务业集聚区前期项目包装策划工作力度，千方百计为项目开工创造条件，力促项目早日开工建设。</w:t>
            </w:r>
          </w:p>
          <w:p>
            <w:pPr>
              <w:tabs>
                <w:tab w:val="left" w:pos="0"/>
              </w:tabs>
              <w:spacing w:line="440" w:lineRule="exact"/>
              <w:ind w:firstLine="482"/>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3.加强管理</w:t>
            </w:r>
            <w:r>
              <w:rPr>
                <w:rFonts w:hint="eastAsia" w:ascii="仿宋_GB2312" w:hAnsi="仿宋_GB2312" w:eastAsia="仿宋_GB2312" w:cs="仿宋_GB2312"/>
                <w:sz w:val="24"/>
                <w:szCs w:val="24"/>
                <w:lang w:bidi="ar"/>
              </w:rPr>
              <w:t>。成立现代服务业集聚区领导小组，推进服务业集聚区建设。建立服务业集聚区考核体系，对每一个服务业集聚区制定具体考核办法，并纳入绩效考核。</w:t>
            </w:r>
          </w:p>
          <w:p>
            <w:pPr>
              <w:tabs>
                <w:tab w:val="left" w:pos="0"/>
              </w:tabs>
              <w:spacing w:line="440" w:lineRule="exact"/>
              <w:ind w:firstLine="482"/>
              <w:jc w:val="both"/>
              <w:rPr>
                <w:rFonts w:hint="eastAsia" w:ascii="宋体" w:hAnsi="宋体" w:eastAsia="宋体" w:cs="宋体"/>
                <w:sz w:val="24"/>
                <w:szCs w:val="24"/>
                <w:lang w:bidi="ar"/>
              </w:rPr>
            </w:pPr>
            <w:r>
              <w:rPr>
                <w:rFonts w:hint="eastAsia" w:ascii="仿宋_GB2312" w:hAnsi="仿宋_GB2312" w:eastAsia="仿宋_GB2312" w:cs="仿宋_GB2312"/>
                <w:b/>
                <w:sz w:val="24"/>
                <w:szCs w:val="24"/>
                <w:lang w:bidi="ar"/>
              </w:rPr>
              <w:t>4.逐级申报</w:t>
            </w:r>
            <w:r>
              <w:rPr>
                <w:rFonts w:hint="eastAsia" w:ascii="仿宋_GB2312" w:hAnsi="仿宋_GB2312" w:eastAsia="仿宋_GB2312" w:cs="仿宋_GB2312"/>
                <w:sz w:val="24"/>
                <w:szCs w:val="24"/>
                <w:lang w:bidi="ar"/>
              </w:rPr>
              <w:t>。积极开展省级服务业集聚区、市级服务业集聚区的创建工作，鼓励条件较好的荥经县财富中心商贸流通集聚区创建省级服务业集聚区。</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945"/>
              <w:gridCol w:w="1150"/>
              <w:gridCol w:w="5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pPr>
                    <w:pStyle w:val="51"/>
                    <w:rPr>
                      <w:rFonts w:hint="eastAsia" w:ascii="宋体" w:hAnsi="宋体" w:eastAsia="宋体" w:cs="宋体"/>
                      <w:sz w:val="24"/>
                      <w:szCs w:val="24"/>
                    </w:rPr>
                  </w:pPr>
                  <w:r>
                    <w:rPr>
                      <w:rFonts w:hint="eastAsia" w:ascii="黑体" w:hAnsi="黑体" w:eastAsia="黑体" w:cs="黑体"/>
                      <w:sz w:val="24"/>
                      <w:szCs w:val="24"/>
                    </w:rPr>
                    <w:t>荥经县重点服务业集聚区一览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集聚区名称（暂用名）</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集聚类型（按省级标准划分）</w:t>
                  </w:r>
                </w:p>
              </w:tc>
              <w:tc>
                <w:tcPr>
                  <w:tcW w:w="569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集聚区主要内容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财富中心商业购物集聚区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商业贸易</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依托财富中心，积极引入高品质商贸业态，加快时尚品牌、轻奢品牌、品质餐饮、星级酒店等业态集聚，建设成为集购物、休闲娱乐、美食、商旅等功能于一体的区域性消费中心和品质消费目的地。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1"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2</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鸿林新城特色餐饮集聚区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川派餐饮服务</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以颛顼广场、鸿林新城仿古街、城西农贸市场为重点，打造城西农贸市场美食广场，颛顼广场夜生活中心、七星园仿古街旅游特色商品街、滨河美食特色街区，不断提升消费承载能力和服务业水平，建设成为荥经特色消费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3</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德能新城商业贸易集聚区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商业贸易</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依托德能新城项目，鼓励引进购物中心、城市夜市、连锁超市、大众餐饮等业态，培育形成满足居民品质生活需求、高端商务需求的综合商务商贸集聚区。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4</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尚品国际休闲文化集聚区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商业贸易</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以尚品国际、金河广场为核心，积极提升打造商业步行街，推动经营业态调整，积极招引知名品牌服饰、餐饮、教育、娱乐等业态，建设成为及购物、休闲娱乐、亲子教育、餐饮等多种业态于一体的，满足本地居民消费休闲需求的综合性消费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bidi="ar"/>
                    </w:rPr>
                    <w:t>5</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严道黑砂文化旅游集聚区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文体旅游</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围绕黑砂非物质文化遗产打造集砂器产业制作、文旅融合于一体的特色小镇，同时推动黑砂产业与旅游的深度融合，建设黑砂活态博物馆、黑砂古风街、黑砂学院、砂都商贸区、黑砂艺术社区等一批文化旅游项目，打造集文化旅游、康养度假、特色商业、产业孵化于一体的中国严道黑砂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1" w:type="dxa"/>
                  <w:vAlign w:val="center"/>
                </w:tcPr>
                <w:p>
                  <w:pPr>
                    <w:pStyle w:val="5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bidi="ar"/>
                    </w:rPr>
                    <w:t>6</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荥经现代商贸物流集聚区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现代物流</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主动承接疏解成渝西向物流集散功能，打造集汽车销售+汽配汽修+建材为一体的荥经现代商贸物流园区。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bidi="ar"/>
                    </w:rPr>
                    <w:t>7</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龙苍沟森林温泉康养集聚区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医疗康养服务</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利用金船原始的自然生态环境，结合温泉开发，在快乐村规划建设温泉疗养基地，利用高山温泉，打造高端森林养身之地，配套建设温泉疗养基地、星级宾馆会所，建设生态度假旅游胜地，打造生态环境优美的高尚人居生活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bidi="ar"/>
                    </w:rPr>
                    <w:t>8</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大相岭大熊猫国家公园集聚区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文体旅游</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依托龙苍沟国家森林公园原始森林资源，突出自然森林景观特色，坚持生态优先原则，结合休闲度假旅游产品开发，以大健康产业为主导，做精做深森林康养，大力推进熊猫民宿特色小镇、熊猫康养天堂、熊猫宁静谷、熊猫探索学校二期等项目建设，加大余家坝运动康养区和银船温泉度假区的项目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5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bidi="ar"/>
                    </w:rPr>
                    <w:t>9</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牛背山文体旅游集聚区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文体旅游</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以“360°世界最美观景平台”为核心，采取“山顶生态游憩，山麓康养度假”模式，推进康养与运动、医药、文化、农业相结合，着力建设国际国内高山观光摄影和极限运动胜地。大力发展森林康养运动产业，加速推进休闲度假产品开发，运用“运动+医疗+养生”模式，促进森林康养与户外运动深度融合，打造集极致观光、休闲度假、养生理疗、户外探险、民俗风情体验等功能于一体的效益显著、功能完善、特色鲜明、可持续发展的具有规模带动效应的世界级山地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1" w:type="dxa"/>
                  <w:vAlign w:val="center"/>
                </w:tcPr>
                <w:p>
                  <w:pPr>
                    <w:pStyle w:val="51"/>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bidi="ar"/>
                    </w:rPr>
                    <w:t>10</w:t>
                  </w:r>
                </w:p>
              </w:tc>
              <w:tc>
                <w:tcPr>
                  <w:tcW w:w="945"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云峰山天府禅修谷旅游集聚区</w:t>
                  </w:r>
                </w:p>
              </w:tc>
              <w:tc>
                <w:tcPr>
                  <w:tcW w:w="1150" w:type="dxa"/>
                  <w:vAlign w:val="center"/>
                </w:tcPr>
                <w:p>
                  <w:pPr>
                    <w:pStyle w:val="5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文体旅游</w:t>
                  </w:r>
                </w:p>
              </w:tc>
              <w:tc>
                <w:tcPr>
                  <w:tcW w:w="5690" w:type="dxa"/>
                  <w:vAlign w:val="center"/>
                </w:tcPr>
                <w:p>
                  <w:pPr>
                    <w:pStyle w:val="5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bidi="ar"/>
                    </w:rPr>
                    <w:t>探索“国资主导+多方合作”模式，做大做强云峰山旅游景区，整合大云峰山环线空间范围内文化、生态、产业资源，加大招商引资，突出项目落地，发挥城郊区位优势，以乡村旅居为突破点，以心灵康养和乡村休闲为特色，推动云峰山养心产业园的建设。</w:t>
                  </w:r>
                </w:p>
              </w:tc>
            </w:tr>
          </w:tbl>
          <w:p>
            <w:pPr>
              <w:numPr>
                <w:ilvl w:val="255"/>
                <w:numId w:val="0"/>
              </w:numPr>
              <w:spacing w:line="560" w:lineRule="exact"/>
              <w:jc w:val="both"/>
              <w:rPr>
                <w:rFonts w:hint="eastAsia" w:ascii="宋体" w:hAnsi="宋体" w:eastAsia="宋体" w:cs="宋体"/>
                <w:sz w:val="24"/>
                <w:szCs w:val="24"/>
                <w:lang w:bidi="ar"/>
              </w:rPr>
            </w:pP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6" w:lineRule="exact"/>
        <w:ind w:leftChars="200"/>
        <w:jc w:val="both"/>
        <w:textAlignment w:val="auto"/>
        <w:rPr>
          <w:rFonts w:hint="eastAsia" w:ascii="楷体_GB2312" w:hAnsi="楷体_GB2312" w:eastAsia="楷体_GB2312" w:cs="楷体_GB2312"/>
        </w:rPr>
      </w:pPr>
      <w:bookmarkStart w:id="157" w:name="_Toc18142"/>
      <w:bookmarkStart w:id="158" w:name="_Toc28034"/>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五</w:t>
      </w:r>
      <w:r>
        <w:rPr>
          <w:rFonts w:hint="eastAsia" w:ascii="楷体_GB2312" w:hAnsi="楷体_GB2312" w:eastAsia="楷体_GB2312" w:cs="楷体_GB2312"/>
          <w:lang w:eastAsia="zh-CN"/>
        </w:rPr>
        <w:t>）</w:t>
      </w:r>
      <w:r>
        <w:rPr>
          <w:rFonts w:hint="eastAsia" w:ascii="楷体_GB2312" w:hAnsi="楷体_GB2312" w:eastAsia="楷体_GB2312" w:cs="楷体_GB2312"/>
        </w:rPr>
        <w:t>服务业品牌打造行动</w:t>
      </w:r>
      <w:bookmarkEnd w:id="157"/>
      <w:bookmarkEnd w:id="158"/>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cs="Times New Roman"/>
        </w:rPr>
      </w:pPr>
      <w:r>
        <w:rPr>
          <w:rFonts w:cs="Times New Roman"/>
        </w:rPr>
        <w:t>打造培育荥经县服务业重点品牌，制定服务业重点品牌培育计划，引导和鼓励服务业企业争创“国家地理标志商标”“农产品地理标志”“四川名牌”“四川著名商标”等。引导企业树立标准化、品牌化发展意识，鼓励政务服务、森林康养、现代物流、文化旅游、自然教育等领域积极申报服务业标准化试点项目。立足“荥经鸽子花生态旅游节</w:t>
      </w:r>
      <w:r>
        <w:rPr>
          <w:rFonts w:hint="eastAsia" w:cs="Times New Roman"/>
        </w:rPr>
        <w:t>”“</w:t>
      </w:r>
      <w:r>
        <w:rPr>
          <w:rFonts w:cs="Times New Roman"/>
        </w:rPr>
        <w:t>中国·</w:t>
      </w:r>
      <w:r>
        <w:rPr>
          <w:rFonts w:cs="Times New Roman"/>
          <w:szCs w:val="32"/>
          <w:lang w:bidi="ar"/>
        </w:rPr>
        <w:t>鸽子花峰会</w:t>
      </w:r>
      <w:r>
        <w:rPr>
          <w:rFonts w:hint="eastAsia" w:cs="Times New Roman"/>
        </w:rPr>
        <w:t>”“</w:t>
      </w:r>
      <w:r>
        <w:rPr>
          <w:rFonts w:cs="Times New Roman"/>
          <w:szCs w:val="32"/>
          <w:lang w:bidi="ar"/>
        </w:rPr>
        <w:t>大熊猫国家公园自然教育研讨会</w:t>
      </w:r>
      <w:r>
        <w:rPr>
          <w:rFonts w:hint="eastAsia" w:cs="Times New Roman"/>
          <w:szCs w:val="32"/>
          <w:lang w:bidi="ar"/>
        </w:rPr>
        <w:t>”“</w:t>
      </w:r>
      <w:r>
        <w:rPr>
          <w:rFonts w:cs="Times New Roman"/>
          <w:szCs w:val="32"/>
          <w:lang w:bidi="ar"/>
        </w:rPr>
        <w:t>中国（四川）森林自然教育大会”</w:t>
      </w:r>
      <w:r>
        <w:rPr>
          <w:rFonts w:cs="Times New Roman"/>
        </w:rPr>
        <w:t>等一批已有特色会展品牌，积极探索培育文化旅游、森林康养、自然教育新模式、新业态，创建一批特色产业品牌。同时打造提升“棒棒鸡”“牛背清泉”等地方特色产品品牌质量和影响力，积极参与“雅安味道”和“金熊猫”旅游服务质量等级评定活动，争创“放心舒心消费城市”，提升“荥经服务”品质和市场竞争力。</w:t>
      </w:r>
      <w:r>
        <w:rPr>
          <w:rFonts w:hint="eastAsia" w:ascii="仿宋_GB2312" w:hAnsi="仿宋_GB2312" w:eastAsia="仿宋_GB2312" w:cs="仿宋_GB2312"/>
          <w:b w:val="0"/>
          <w:bCs w:val="0"/>
          <w:color w:val="000000"/>
          <w:sz w:val="32"/>
          <w:szCs w:val="32"/>
        </w:rPr>
        <w:t>积极</w:t>
      </w:r>
      <w:r>
        <w:rPr>
          <w:rFonts w:hint="eastAsia" w:eastAsia="仿宋_GB2312"/>
          <w:b w:val="0"/>
          <w:bCs w:val="0"/>
          <w:color w:val="000000"/>
          <w:sz w:val="32"/>
          <w:szCs w:val="32"/>
        </w:rPr>
        <w:t>承办省市大型活动，全面创新城市营销，</w:t>
      </w:r>
      <w:r>
        <w:rPr>
          <w:rFonts w:hint="eastAsia" w:ascii="仿宋_GB2312" w:hAnsi="仿宋_GB2312" w:eastAsia="仿宋_GB2312" w:cs="仿宋_GB2312"/>
          <w:b w:val="0"/>
          <w:bCs w:val="0"/>
          <w:color w:val="000000"/>
          <w:sz w:val="32"/>
          <w:szCs w:val="32"/>
        </w:rPr>
        <w:t>打响“千年严道·清雅荥经”城市名片</w:t>
      </w:r>
      <w:r>
        <w:rPr>
          <w:rFonts w:hint="eastAsia" w:ascii="仿宋_GB2312" w:hAnsi="仿宋_GB2312" w:cs="仿宋_GB2312"/>
          <w:b w:val="0"/>
          <w:bCs w:val="0"/>
          <w:color w:val="000000"/>
          <w:sz w:val="32"/>
          <w:szCs w:val="32"/>
          <w:lang w:eastAsia="zh-CN"/>
        </w:rPr>
        <w:t>，</w:t>
      </w:r>
      <w:r>
        <w:rPr>
          <w:rFonts w:hint="eastAsia" w:eastAsia="仿宋_GB2312"/>
          <w:b w:val="0"/>
          <w:bCs w:val="0"/>
          <w:color w:val="000000"/>
          <w:sz w:val="32"/>
          <w:szCs w:val="32"/>
        </w:rPr>
        <w:t>不断提升城市美誉度和影响力。</w:t>
      </w:r>
      <w:r>
        <w:rPr>
          <w:rFonts w:cs="Times New Roman"/>
        </w:rPr>
        <w:t>力</w:t>
      </w:r>
      <w:r>
        <w:rPr>
          <w:rFonts w:hint="eastAsia" w:ascii="仿宋_GB2312" w:hAnsi="仿宋_GB2312" w:eastAsia="仿宋_GB2312" w:cs="仿宋_GB2312"/>
        </w:rPr>
        <w:t>争到2025年，培育5个</w:t>
      </w:r>
      <w:r>
        <w:rPr>
          <w:rFonts w:cs="Times New Roman"/>
        </w:rPr>
        <w:t>国内影响力大、经济效益好、区域竞争力强的服务业品牌。</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D7D7D7" w:themeFill="background1" w:themeFillShade="D8"/>
            <w:vAlign w:val="top"/>
          </w:tcPr>
          <w:p>
            <w:pPr>
              <w:spacing w:line="240" w:lineRule="auto"/>
              <w:ind w:firstLine="0" w:firstLineChars="0"/>
              <w:jc w:val="center"/>
              <w:rPr>
                <w:rFonts w:hint="eastAsia" w:ascii="宋体" w:hAnsi="宋体" w:eastAsia="宋体" w:cs="宋体"/>
                <w:sz w:val="24"/>
                <w:szCs w:val="24"/>
                <w:lang w:bidi="ar"/>
              </w:rPr>
            </w:pPr>
            <w:r>
              <w:rPr>
                <w:rFonts w:hint="eastAsia" w:ascii="黑体" w:hAnsi="黑体" w:eastAsia="黑体" w:cs="黑体"/>
                <w:b/>
                <w:bCs/>
                <w:sz w:val="24"/>
                <w:szCs w:val="24"/>
                <w:lang w:bidi="ar"/>
              </w:rPr>
              <w:t>专题5</w:t>
            </w:r>
            <w:r>
              <w:rPr>
                <w:rFonts w:hint="eastAsia" w:ascii="黑体" w:hAnsi="黑体" w:eastAsia="黑体" w:cs="黑体"/>
                <w:b/>
                <w:bCs/>
                <w:sz w:val="24"/>
                <w:szCs w:val="24"/>
                <w:lang w:val="en-US" w:eastAsia="zh-CN" w:bidi="ar"/>
              </w:rPr>
              <w:t xml:space="preserve">  </w:t>
            </w:r>
            <w:r>
              <w:rPr>
                <w:rFonts w:hint="eastAsia" w:ascii="黑体" w:hAnsi="黑体" w:eastAsia="黑体" w:cs="黑体"/>
                <w:b/>
                <w:bCs/>
                <w:sz w:val="24"/>
                <w:szCs w:val="24"/>
                <w:lang w:bidi="ar"/>
              </w:rPr>
              <w:t>服务业品牌打造行动重点工作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widowControl/>
              <w:numPr>
                <w:ilvl w:val="255"/>
                <w:numId w:val="0"/>
              </w:numPr>
              <w:spacing w:line="440" w:lineRule="exact"/>
              <w:ind w:firstLine="320" w:firstLineChars="133"/>
              <w:jc w:val="both"/>
              <w:rPr>
                <w:rFonts w:hint="eastAsia" w:ascii="仿宋_GB2312" w:hAnsi="仿宋_GB2312" w:eastAsia="仿宋_GB2312" w:cs="仿宋_GB2312"/>
                <w:sz w:val="24"/>
                <w:szCs w:val="24"/>
                <w:lang w:bidi="ar"/>
              </w:rPr>
            </w:pPr>
            <w:r>
              <w:rPr>
                <w:rFonts w:hint="eastAsia" w:ascii="仿宋_GB2312" w:hAnsi="仿宋_GB2312" w:eastAsia="仿宋_GB2312" w:cs="仿宋_GB2312"/>
                <w:b/>
                <w:sz w:val="24"/>
                <w:szCs w:val="24"/>
                <w:lang w:bidi="ar"/>
              </w:rPr>
              <w:t>1.打造荥经美食品牌</w:t>
            </w:r>
            <w:r>
              <w:rPr>
                <w:rFonts w:hint="eastAsia" w:ascii="仿宋_GB2312" w:hAnsi="仿宋_GB2312" w:eastAsia="仿宋_GB2312" w:cs="仿宋_GB2312"/>
                <w:sz w:val="24"/>
                <w:szCs w:val="24"/>
                <w:lang w:bidi="ar"/>
              </w:rPr>
              <w:t>。名店：打造荥经特色餐饮名店，以七星园（餐饮）、三兴源为重点，打造餐饮美食龙头企业，培育一批具有特色、内涵丰富、影响力大的餐饮龙头企业品牌，鼓励龙头餐饮企业联合荥经餐饮企业组建荥经餐饮美食联盟。做好连锁门店，以荥经棒棒鸡为主的门店要学习借鉴廖记棒棒鸡的品牌效应，进行品牌打造，树立品牌标准，讲好品牌故事，创新营销理念，建立营销队伍。名菜：进一步提升棒棒鸡、砂锅雅鱼、荥经挞挞面、椒盐饼子、荥经凉粉、石板鸭等荥经名菜的品质和宣传，打造“黑砂宴”“国宝宴”“非遗宴”和“长街宴”四大名宴。加强棒棒鸡菜品研发，在传统椒麻鸡的基础上研发出山珍鸡、青椒鸡、藤椒鸡系列。名厨：开展以棒棒鸡为主的荥经特色餐饮菜品制作技艺标准制定，积极申报各级非物质文化遗产，培养技艺传承人，摒弃传统的家族传承，规范拜师流程和形式，建立师承关系谱系，鼓励更多有意的人参与学习，壮大餐饮名厨后备力量。</w:t>
            </w:r>
          </w:p>
          <w:p>
            <w:pPr>
              <w:widowControl/>
              <w:numPr>
                <w:ilvl w:val="255"/>
                <w:numId w:val="0"/>
              </w:numPr>
              <w:spacing w:line="440" w:lineRule="exact"/>
              <w:ind w:firstLine="320" w:firstLineChars="133"/>
              <w:jc w:val="both"/>
              <w:rPr>
                <w:rFonts w:hint="eastAsia" w:ascii="宋体" w:hAnsi="宋体" w:eastAsia="宋体" w:cs="宋体"/>
                <w:sz w:val="24"/>
                <w:szCs w:val="24"/>
                <w:lang w:bidi="ar"/>
              </w:rPr>
            </w:pPr>
            <w:r>
              <w:rPr>
                <w:rFonts w:hint="eastAsia" w:ascii="仿宋_GB2312" w:hAnsi="仿宋_GB2312" w:eastAsia="仿宋_GB2312" w:cs="仿宋_GB2312"/>
                <w:b/>
                <w:sz w:val="24"/>
                <w:szCs w:val="24"/>
                <w:lang w:bidi="ar"/>
              </w:rPr>
              <w:t>2.打造荥经旅游、康养品牌</w:t>
            </w:r>
            <w:r>
              <w:rPr>
                <w:rFonts w:hint="eastAsia" w:ascii="仿宋_GB2312" w:hAnsi="仿宋_GB2312" w:eastAsia="仿宋_GB2312" w:cs="仿宋_GB2312"/>
                <w:sz w:val="24"/>
                <w:szCs w:val="24"/>
                <w:lang w:bidi="ar"/>
              </w:rPr>
              <w:t>。名镇：精心打造龙苍沟熊猫温泉小镇、龙苍沟清风雅雨小镇、中国严道黑砂小镇、茶马古道•新添驿站小镇、牛背山休闲运动小镇等特色小镇项目。名村：提升建政村、青杠村、发展村、经河村、新添村等精品旅游新村，打造一批以乡村度假、农业观光、康养体验为特色的天府旅游名村。名宿：建设大熊猫、黑砂、森林、茶、珙桐5大主题精品民宿项目，形成特色鲜明的民宿品牌，引导民宿集聚发展，打造一批以牛背山民宿群、龙苍沟民宿群、大熊猫国家公园民宿群、108特色民宿等为代表的精品民宿聚落。名店：进一步提升七星园，丰富康养休闲业态和夜间旅游产品，培育天府旅游名店。名品：依托黑砂文化、鸽子花、何君尊楗阁刻石、荥经天麻等特色文旅资源，开发推出一批体现地域文化特色的文创产品和旅游商品，推进“天府旅游名品”建设。名导：依托大熊猫自然教育基地和丝路砂都自然教育大本营项目，加大对研学导师的培训，培育“天府旅游名导”后备人选。</w:t>
            </w:r>
          </w:p>
        </w:tc>
      </w:tr>
    </w:tbl>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576" w:lineRule="exact"/>
        <w:ind w:leftChars="0" w:firstLine="640" w:firstLineChars="200"/>
        <w:jc w:val="both"/>
        <w:textAlignment w:val="auto"/>
        <w:rPr>
          <w:rFonts w:ascii="Times New Roman" w:hAnsi="Times New Roman" w:cs="Times New Roman"/>
          <w:b w:val="0"/>
          <w:bCs w:val="0"/>
          <w:sz w:val="32"/>
          <w:szCs w:val="32"/>
        </w:rPr>
      </w:pPr>
      <w:bookmarkStart w:id="159" w:name="_Toc21176"/>
      <w:bookmarkStart w:id="160" w:name="_Toc29668"/>
      <w:r>
        <w:rPr>
          <w:rFonts w:hint="eastAsia" w:ascii="Times New Roman" w:hAnsi="Times New Roman" w:cs="Times New Roman"/>
          <w:b w:val="0"/>
          <w:bCs w:val="0"/>
          <w:sz w:val="32"/>
          <w:szCs w:val="32"/>
          <w:lang w:val="en-US" w:eastAsia="zh-CN"/>
        </w:rPr>
        <w:t>十、</w:t>
      </w:r>
      <w:r>
        <w:rPr>
          <w:rFonts w:ascii="Times New Roman" w:hAnsi="Times New Roman" w:cs="Times New Roman"/>
          <w:b w:val="0"/>
          <w:bCs w:val="0"/>
          <w:sz w:val="32"/>
          <w:szCs w:val="32"/>
        </w:rPr>
        <w:t>保障措施</w:t>
      </w:r>
      <w:bookmarkEnd w:id="159"/>
      <w:bookmarkEnd w:id="160"/>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0" w:firstLine="642" w:firstLineChars="200"/>
        <w:jc w:val="both"/>
        <w:textAlignment w:val="auto"/>
        <w:rPr>
          <w:rFonts w:hint="eastAsia" w:ascii="楷体_GB2312" w:hAnsi="楷体_GB2312" w:eastAsia="楷体_GB2312" w:cs="楷体_GB2312"/>
        </w:rPr>
      </w:pPr>
      <w:bookmarkStart w:id="161" w:name="_Toc20459"/>
      <w:bookmarkStart w:id="162" w:name="_Toc2791"/>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一</w:t>
      </w:r>
      <w:r>
        <w:rPr>
          <w:rFonts w:hint="eastAsia" w:ascii="楷体_GB2312" w:hAnsi="楷体_GB2312" w:eastAsia="楷体_GB2312" w:cs="楷体_GB2312"/>
          <w:lang w:eastAsia="zh-CN"/>
        </w:rPr>
        <w:t>）</w:t>
      </w:r>
      <w:r>
        <w:rPr>
          <w:rFonts w:hint="eastAsia" w:ascii="楷体_GB2312" w:hAnsi="楷体_GB2312" w:eastAsia="楷体_GB2312" w:cs="楷体_GB2312"/>
        </w:rPr>
        <w:t>强化组织实施</w:t>
      </w:r>
      <w:bookmarkEnd w:id="161"/>
      <w:bookmarkEnd w:id="162"/>
    </w:p>
    <w:p>
      <w:pPr>
        <w:keepNext w:val="0"/>
        <w:keepLines w:val="0"/>
        <w:pageBreakBefore w:val="0"/>
        <w:kinsoku/>
        <w:wordWrap/>
        <w:overflowPunct/>
        <w:topLinePunct w:val="0"/>
        <w:autoSpaceDE/>
        <w:autoSpaceDN/>
        <w:bidi w:val="0"/>
        <w:adjustRightInd/>
        <w:snapToGrid/>
        <w:spacing w:beforeAutospacing="0" w:afterAutospacing="0" w:line="576" w:lineRule="exact"/>
        <w:ind w:leftChars="0" w:firstLine="640"/>
        <w:jc w:val="both"/>
        <w:textAlignment w:val="auto"/>
        <w:rPr>
          <w:rFonts w:cs="Times New Roman"/>
        </w:rPr>
      </w:pPr>
      <w:r>
        <w:rPr>
          <w:rFonts w:cs="Times New Roman"/>
          <w:lang w:bidi="ar"/>
        </w:rPr>
        <w:t>充分发挥荥经县服务业发展领导小组的领导作用，建立和完善服务业发展工作的协调推进机制，落实“3+3”服务业重点行业推进小组的责任主体地位，制定服务业各重点领域专项行动计划。服务业发展领导小组定期召开协调会，</w:t>
      </w:r>
      <w:r>
        <w:rPr>
          <w:rFonts w:cs="Times New Roman"/>
        </w:rPr>
        <w:t>统筹协调解决现代服务业相关领域尤其是企业发展遇到的重点、难点问题</w:t>
      </w:r>
      <w:r>
        <w:rPr>
          <w:rFonts w:cs="Times New Roman"/>
          <w:lang w:bidi="ar"/>
        </w:rPr>
        <w:t>。建立目标责任制，明确各部门工作任务，完善服务业发展考核评价制度，</w:t>
      </w:r>
      <w:r>
        <w:rPr>
          <w:rFonts w:cs="Times New Roman"/>
        </w:rPr>
        <w:t>切实推进本地区、本行业、本领域现代服务业加快发展</w:t>
      </w:r>
      <w:r>
        <w:rPr>
          <w:rFonts w:cs="Times New Roman"/>
          <w:lang w:bidi="ar"/>
        </w:rPr>
        <w:t>。</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0" w:firstLine="642" w:firstLineChars="200"/>
        <w:jc w:val="both"/>
        <w:textAlignment w:val="auto"/>
        <w:rPr>
          <w:rFonts w:cs="Times New Roman"/>
        </w:rPr>
      </w:pPr>
      <w:bookmarkStart w:id="163" w:name="_Toc4417"/>
      <w:bookmarkStart w:id="164" w:name="_Toc20825"/>
      <w:r>
        <w:rPr>
          <w:rFonts w:hint="eastAsia" w:eastAsia="楷体_GB2312" w:cs="Times New Roman"/>
          <w:lang w:eastAsia="zh-CN"/>
        </w:rPr>
        <w:t>（</w:t>
      </w:r>
      <w:r>
        <w:rPr>
          <w:rFonts w:hint="eastAsia" w:eastAsia="楷体_GB2312" w:cs="Times New Roman"/>
          <w:lang w:val="en-US" w:eastAsia="zh-CN"/>
        </w:rPr>
        <w:t>二</w:t>
      </w:r>
      <w:r>
        <w:rPr>
          <w:rFonts w:hint="eastAsia" w:eastAsia="楷体_GB2312" w:cs="Times New Roman"/>
          <w:lang w:eastAsia="zh-CN"/>
        </w:rPr>
        <w:t>）</w:t>
      </w:r>
      <w:r>
        <w:rPr>
          <w:rFonts w:eastAsia="楷体_GB2312" w:cs="Times New Roman"/>
        </w:rPr>
        <w:t>加强</w:t>
      </w:r>
      <w:r>
        <w:rPr>
          <w:rFonts w:cs="Times New Roman"/>
        </w:rPr>
        <w:t>要素保障</w:t>
      </w:r>
      <w:bookmarkEnd w:id="163"/>
      <w:bookmarkEnd w:id="164"/>
    </w:p>
    <w:p>
      <w:pPr>
        <w:keepNext w:val="0"/>
        <w:keepLines w:val="0"/>
        <w:pageBreakBefore w:val="0"/>
        <w:kinsoku/>
        <w:wordWrap/>
        <w:overflowPunct/>
        <w:topLinePunct w:val="0"/>
        <w:autoSpaceDE/>
        <w:autoSpaceDN/>
        <w:bidi w:val="0"/>
        <w:adjustRightInd/>
        <w:snapToGrid/>
        <w:spacing w:beforeAutospacing="0" w:afterAutospacing="0" w:line="576" w:lineRule="exact"/>
        <w:ind w:leftChars="0" w:firstLine="640"/>
        <w:jc w:val="both"/>
        <w:textAlignment w:val="auto"/>
        <w:rPr>
          <w:rFonts w:cs="Times New Roman"/>
        </w:rPr>
      </w:pPr>
      <w:r>
        <w:rPr>
          <w:rFonts w:cs="Times New Roman"/>
          <w:lang w:bidi="ar"/>
        </w:rPr>
        <w:t>强化政策保障，全面落实国家、省、市、县有关服务业发展的扶持政策，加大政策扶持力度。强化资金保障，通过创建服务业集聚区、培育重点企业重大项目积极向上级争取服务业发展资金支持，鼓励各类创业投资机构、风险投资机构、信用担保机构面向服务业企业开展业务。强化土地保障，提高服务业规划用地权重和标准，在安排服务业项目建设用地计划时向服务业重点行业和重点项目适度倾斜。</w:t>
      </w:r>
      <w:r>
        <w:rPr>
          <w:rFonts w:cs="Times New Roman"/>
        </w:rPr>
        <w:t>强化人才保障，完善人才引进机制，围绕荥经服务业重点领域，积极引进高层次人才、高技能人才和具有现代服务管理技能的高素质、高层次复合型人才。</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0" w:firstLine="642" w:firstLineChars="200"/>
        <w:jc w:val="both"/>
        <w:textAlignment w:val="auto"/>
        <w:rPr>
          <w:rFonts w:eastAsia="楷体_GB2312" w:cs="Times New Roman"/>
        </w:rPr>
      </w:pPr>
      <w:bookmarkStart w:id="165" w:name="_Toc27252"/>
      <w:bookmarkStart w:id="166" w:name="_Toc9260"/>
      <w:r>
        <w:rPr>
          <w:rFonts w:hint="eastAsia" w:eastAsia="楷体_GB2312" w:cs="Times New Roman"/>
          <w:lang w:eastAsia="zh-CN"/>
        </w:rPr>
        <w:t>（</w:t>
      </w:r>
      <w:r>
        <w:rPr>
          <w:rFonts w:hint="eastAsia" w:eastAsia="楷体_GB2312" w:cs="Times New Roman"/>
          <w:lang w:val="en-US" w:eastAsia="zh-CN"/>
        </w:rPr>
        <w:t>三</w:t>
      </w:r>
      <w:r>
        <w:rPr>
          <w:rFonts w:hint="eastAsia" w:eastAsia="楷体_GB2312" w:cs="Times New Roman"/>
          <w:lang w:eastAsia="zh-CN"/>
        </w:rPr>
        <w:t>）</w:t>
      </w:r>
      <w:r>
        <w:rPr>
          <w:rFonts w:eastAsia="楷体_GB2312" w:cs="Times New Roman"/>
        </w:rPr>
        <w:t>完善统计监测</w:t>
      </w:r>
      <w:bookmarkEnd w:id="165"/>
      <w:bookmarkEnd w:id="166"/>
    </w:p>
    <w:p>
      <w:pPr>
        <w:keepNext w:val="0"/>
        <w:keepLines w:val="0"/>
        <w:pageBreakBefore w:val="0"/>
        <w:kinsoku/>
        <w:wordWrap/>
        <w:overflowPunct/>
        <w:topLinePunct w:val="0"/>
        <w:autoSpaceDE/>
        <w:autoSpaceDN/>
        <w:bidi w:val="0"/>
        <w:adjustRightInd/>
        <w:snapToGrid/>
        <w:spacing w:beforeAutospacing="0" w:afterAutospacing="0" w:line="576" w:lineRule="exact"/>
        <w:ind w:leftChars="0" w:firstLine="640"/>
        <w:jc w:val="both"/>
        <w:textAlignment w:val="auto"/>
        <w:rPr>
          <w:rFonts w:hint="eastAsia" w:ascii="仿宋_GB2312" w:hAnsi="仿宋_GB2312" w:eastAsia="仿宋_GB2312" w:cs="仿宋_GB2312"/>
        </w:rPr>
      </w:pPr>
      <w:r>
        <w:rPr>
          <w:rFonts w:hint="eastAsia" w:ascii="仿宋_GB2312" w:hAnsi="仿宋_GB2312" w:eastAsia="仿宋_GB2312" w:cs="仿宋_GB2312"/>
          <w:lang w:bidi="ar"/>
        </w:rPr>
        <w:t>根据荥经县服务业发展的新趋势、新情况、新特点，建立全面准确反映服务业发展状况的统计监测系统。围绕全县“3+3”服务业重点行业建立相应的统计体系，完善统计分类标准和指标体系，提高统计数据及时性和精准度。逐步建立“3+3”服务业重点行业统计信息定期发布制度，建立健全服务业重点行业统计信息部门共享机制，逐步形成年度、季度信息发布机制。完善政府信息公开工作，建立直接与企业互动的信息公开服务窗口。</w:t>
      </w:r>
    </w:p>
    <w:p>
      <w:pPr>
        <w:pStyle w:val="4"/>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576" w:lineRule="exact"/>
        <w:ind w:leftChars="0" w:firstLine="642" w:firstLineChars="200"/>
        <w:jc w:val="both"/>
        <w:textAlignment w:val="auto"/>
        <w:rPr>
          <w:rFonts w:cs="Times New Roman"/>
        </w:rPr>
      </w:pPr>
      <w:bookmarkStart w:id="167" w:name="_Toc28032"/>
      <w:bookmarkStart w:id="168" w:name="_Toc8472"/>
      <w:r>
        <w:rPr>
          <w:rFonts w:hint="eastAsia" w:eastAsia="楷体_GB2312" w:cs="Times New Roman"/>
          <w:lang w:eastAsia="zh-CN"/>
        </w:rPr>
        <w:t>（</w:t>
      </w:r>
      <w:r>
        <w:rPr>
          <w:rFonts w:hint="eastAsia" w:eastAsia="楷体_GB2312" w:cs="Times New Roman"/>
          <w:lang w:val="en-US" w:eastAsia="zh-CN"/>
        </w:rPr>
        <w:t>四</w:t>
      </w:r>
      <w:r>
        <w:rPr>
          <w:rFonts w:hint="eastAsia" w:eastAsia="楷体_GB2312" w:cs="Times New Roman"/>
          <w:lang w:eastAsia="zh-CN"/>
        </w:rPr>
        <w:t>）</w:t>
      </w:r>
      <w:r>
        <w:rPr>
          <w:rFonts w:eastAsia="楷体_GB2312" w:cs="Times New Roman"/>
        </w:rPr>
        <w:t>优化发展环境</w:t>
      </w:r>
      <w:bookmarkEnd w:id="167"/>
      <w:bookmarkEnd w:id="168"/>
    </w:p>
    <w:p>
      <w:pPr>
        <w:pStyle w:val="2"/>
        <w:rPr>
          <w:rFonts w:hint="eastAsia" w:ascii="黑体" w:hAnsi="黑体" w:eastAsia="黑体"/>
          <w:color w:val="000000"/>
          <w:szCs w:val="32"/>
          <w:lang w:eastAsia="zh-CN"/>
        </w:rPr>
      </w:pPr>
      <w:r>
        <w:rPr>
          <w:rFonts w:hint="eastAsia" w:ascii="仿宋_GB2312" w:hAnsi="仿宋_GB2312" w:eastAsia="仿宋_GB2312" w:cs="仿宋_GB2312"/>
        </w:rPr>
        <w:t>深化服务业“放管服”改革，进一步压缩企业开办时间和服务商标注册周期。</w:t>
      </w:r>
      <w:r>
        <w:rPr>
          <w:rFonts w:hint="eastAsia" w:ascii="仿宋_GB2312" w:hAnsi="仿宋_GB2312" w:eastAsia="仿宋_GB2312" w:cs="仿宋_GB2312"/>
          <w:lang w:bidi="ar"/>
        </w:rPr>
        <w:t>不断完善公开透明、平等规范的市场准入制度，放宽市场准入，建设市场准入统一平台，实现多部门信息共享和协同管理，全面提升营商环境便利度。</w:t>
      </w:r>
      <w:r>
        <w:rPr>
          <w:rFonts w:hint="eastAsia" w:ascii="仿宋_GB2312" w:hAnsi="仿宋_GB2312" w:eastAsia="仿宋_GB2312" w:cs="仿宋_GB2312"/>
        </w:rPr>
        <w:t>对服务业新产业、新业态、新模式，坚持包容审慎监管原则，在质量监控、消费维权、税收征管等方面实施线上线下一体化管理。推进服务市场信用体系建设，建立市场主体信用记录，健全对失信主体的惩戒机制。</w:t>
      </w:r>
      <w:r>
        <w:rPr>
          <w:rFonts w:hint="eastAsia" w:ascii="仿宋_GB2312" w:hAnsi="仿宋_GB2312" w:eastAsia="仿宋_GB2312" w:cs="仿宋_GB2312"/>
          <w:lang w:bidi="ar"/>
        </w:rPr>
        <w:t>进一步优化舆论环境，运用各类媒体大力宣传荥经县服务业发展规划、扶持措施和发展经验等，表彰奖励龙头企业和服务品牌，营造有利于荥经县现代服务业快速发展的社会氛围。</w:t>
      </w:r>
      <w:bookmarkEnd w:id="150"/>
    </w:p>
    <w:p>
      <w:pPr>
        <w:tabs>
          <w:tab w:val="left" w:pos="5760"/>
        </w:tabs>
        <w:spacing w:line="576" w:lineRule="exact"/>
        <w:rPr>
          <w:rFonts w:hint="eastAsia" w:ascii="黑体" w:hAnsi="黑体" w:eastAsia="黑体"/>
          <w:color w:val="000000"/>
          <w:szCs w:val="32"/>
        </w:rPr>
      </w:pPr>
    </w:p>
    <w:p>
      <w:pPr>
        <w:tabs>
          <w:tab w:val="left" w:pos="5760"/>
        </w:tabs>
        <w:spacing w:line="576" w:lineRule="exact"/>
        <w:rPr>
          <w:rFonts w:hint="eastAsia" w:ascii="黑体" w:hAnsi="黑体" w:eastAsia="黑体"/>
          <w:color w:val="000000"/>
          <w:szCs w:val="32"/>
        </w:rPr>
      </w:pPr>
    </w:p>
    <w:p>
      <w:pPr>
        <w:tabs>
          <w:tab w:val="left" w:pos="5760"/>
        </w:tabs>
        <w:spacing w:line="576" w:lineRule="exact"/>
        <w:rPr>
          <w:rFonts w:hint="eastAsia" w:ascii="黑体" w:hAnsi="黑体" w:eastAsia="黑体"/>
          <w:color w:val="000000"/>
          <w:szCs w:val="32"/>
        </w:rPr>
      </w:pPr>
    </w:p>
    <w:p>
      <w:pPr>
        <w:tabs>
          <w:tab w:val="left" w:pos="5760"/>
        </w:tabs>
        <w:spacing w:line="576" w:lineRule="exact"/>
        <w:rPr>
          <w:rFonts w:hint="eastAsia" w:ascii="黑体" w:hAnsi="黑体" w:eastAsia="黑体"/>
          <w:color w:val="000000"/>
          <w:szCs w:val="32"/>
        </w:rPr>
      </w:pPr>
    </w:p>
    <w:p>
      <w:pPr>
        <w:tabs>
          <w:tab w:val="left" w:pos="5760"/>
        </w:tabs>
        <w:spacing w:line="576" w:lineRule="exact"/>
        <w:rPr>
          <w:rFonts w:hint="eastAsia" w:ascii="黑体" w:hAnsi="黑体" w:eastAsia="黑体"/>
          <w:color w:val="000000"/>
          <w:szCs w:val="32"/>
        </w:rPr>
      </w:pPr>
    </w:p>
    <w:p>
      <w:pPr>
        <w:tabs>
          <w:tab w:val="left" w:pos="5760"/>
        </w:tabs>
        <w:spacing w:line="576" w:lineRule="exact"/>
        <w:ind w:left="0" w:leftChars="0" w:firstLine="0" w:firstLineChars="0"/>
        <w:rPr>
          <w:rFonts w:hint="eastAsia" w:ascii="黑体" w:hAnsi="黑体" w:eastAsia="黑体"/>
          <w:color w:val="000000"/>
          <w:szCs w:val="32"/>
        </w:rPr>
      </w:pPr>
    </w:p>
    <w:p>
      <w:pPr>
        <w:keepNext w:val="0"/>
        <w:keepLines w:val="0"/>
        <w:pageBreakBefore w:val="0"/>
        <w:kinsoku/>
        <w:wordWrap/>
        <w:overflowPunct/>
        <w:topLinePunct w:val="0"/>
        <w:autoSpaceDE/>
        <w:autoSpaceDN/>
        <w:bidi w:val="0"/>
        <w:adjustRightInd/>
        <w:snapToGrid/>
        <w:spacing w:beforeAutospacing="0" w:afterAutospacing="0" w:line="576" w:lineRule="exact"/>
        <w:ind w:left="0" w:leftChars="0" w:firstLine="0" w:firstLineChars="0"/>
        <w:jc w:val="both"/>
        <w:textAlignment w:val="auto"/>
        <w:rPr>
          <w:rFonts w:cs="Times New Roman"/>
        </w:rPr>
      </w:pPr>
    </w:p>
    <w:p>
      <w:pPr>
        <w:pStyle w:val="2"/>
        <w:rPr>
          <w:rFonts w:cs="Times New Roman"/>
        </w:rPr>
      </w:pPr>
    </w:p>
    <w:p>
      <w:pPr>
        <w:pStyle w:val="2"/>
        <w:rPr>
          <w:rFonts w:cs="Times New Roman"/>
        </w:rPr>
      </w:pPr>
    </w:p>
    <w:p>
      <w:pPr>
        <w:pStyle w:val="2"/>
        <w:rPr>
          <w:rFonts w:cs="Times New Roman"/>
        </w:rPr>
      </w:pPr>
    </w:p>
    <w:tbl>
      <w:tblPr>
        <w:tblStyle w:val="20"/>
        <w:tblpPr w:leftFromText="180" w:rightFromText="180" w:vertAnchor="text" w:horzAnchor="page" w:tblpX="1671" w:tblpY="1292"/>
        <w:tblOverlap w:val="never"/>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884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8844" w:type="dxa"/>
            <w:tcBorders>
              <w:left w:val="nil"/>
              <w:right w:val="nil"/>
              <w:tl2br w:val="nil"/>
              <w:tr2bl w:val="nil"/>
            </w:tcBorders>
            <w:noWrap w:val="0"/>
            <w:vAlign w:val="top"/>
          </w:tcPr>
          <w:p>
            <w:pPr>
              <w:tabs>
                <w:tab w:val="left" w:pos="5760"/>
              </w:tabs>
              <w:spacing w:line="500" w:lineRule="exact"/>
              <w:ind w:firstLine="280" w:firstLineChars="100"/>
              <w:jc w:val="both"/>
              <w:rPr>
                <w:rFonts w:hint="eastAsia" w:ascii="黑体" w:hAnsi="黑体" w:eastAsia="黑体" w:cs="Times New Roman"/>
                <w:color w:val="000000"/>
                <w:szCs w:val="32"/>
                <w:vertAlign w:val="baseline"/>
              </w:rPr>
            </w:pPr>
            <w:r>
              <w:rPr>
                <w:rFonts w:hint="eastAsia" w:ascii="仿宋_GB2312" w:hAnsi="仿宋_GB2312" w:eastAsia="仿宋_GB2312" w:cs="仿宋_GB2312"/>
                <w:color w:val="000000"/>
                <w:sz w:val="28"/>
                <w:szCs w:val="28"/>
                <w:vertAlign w:val="baseline"/>
              </w:rPr>
              <w:t>荥经县人民政府办公室</w:t>
            </w:r>
            <w:r>
              <w:rPr>
                <w:rFonts w:hint="eastAsia" w:ascii="仿宋_GB2312" w:hAnsi="仿宋_GB2312" w:cs="仿宋_GB2312"/>
                <w:color w:val="000000"/>
                <w:sz w:val="28"/>
                <w:szCs w:val="28"/>
                <w:vertAlign w:val="baseline"/>
                <w:lang w:val="en-US" w:eastAsia="zh-CN"/>
              </w:rPr>
              <w:t xml:space="preserve"> </w:t>
            </w:r>
            <w:r>
              <w:rPr>
                <w:rFonts w:hint="eastAsia" w:ascii="仿宋_GB2312" w:hAnsi="仿宋_GB2312" w:eastAsia="仿宋_GB2312" w:cs="仿宋_GB2312"/>
                <w:color w:val="000000"/>
                <w:sz w:val="28"/>
                <w:szCs w:val="28"/>
                <w:vertAlign w:val="baseline"/>
              </w:rPr>
              <w:t xml:space="preserve">                  </w:t>
            </w:r>
            <w:r>
              <w:rPr>
                <w:rFonts w:hint="eastAsia" w:ascii="仿宋_GB2312" w:hAnsi="仿宋_GB2312" w:cs="仿宋_GB2312"/>
                <w:color w:val="000000"/>
                <w:sz w:val="28"/>
                <w:szCs w:val="28"/>
                <w:vertAlign w:val="baseline"/>
                <w:lang w:val="en-US" w:eastAsia="zh-CN"/>
              </w:rPr>
              <w:t xml:space="preserve"> </w:t>
            </w:r>
            <w:r>
              <w:rPr>
                <w:rFonts w:hint="eastAsia" w:ascii="仿宋_GB2312" w:hAnsi="仿宋_GB2312" w:eastAsia="仿宋_GB2312" w:cs="仿宋_GB2312"/>
                <w:color w:val="000000"/>
                <w:sz w:val="28"/>
                <w:szCs w:val="28"/>
                <w:vertAlign w:val="baseline"/>
              </w:rPr>
              <w:t>202</w:t>
            </w:r>
            <w:r>
              <w:rPr>
                <w:rFonts w:hint="eastAsia" w:ascii="仿宋_GB2312" w:hAnsi="仿宋_GB2312" w:cs="仿宋_GB2312"/>
                <w:color w:val="000000"/>
                <w:sz w:val="28"/>
                <w:szCs w:val="28"/>
                <w:vertAlign w:val="baseline"/>
                <w:lang w:val="en-US" w:eastAsia="zh-CN"/>
              </w:rPr>
              <w:t>2</w:t>
            </w:r>
            <w:r>
              <w:rPr>
                <w:rFonts w:hint="eastAsia" w:ascii="仿宋_GB2312" w:hAnsi="仿宋_GB2312" w:eastAsia="仿宋_GB2312" w:cs="仿宋_GB2312"/>
                <w:color w:val="000000"/>
                <w:sz w:val="28"/>
                <w:szCs w:val="28"/>
                <w:vertAlign w:val="baseline"/>
              </w:rPr>
              <w:t>年</w:t>
            </w:r>
            <w:r>
              <w:rPr>
                <w:rFonts w:hint="eastAsia" w:ascii="仿宋_GB2312" w:hAnsi="仿宋_GB2312" w:cs="仿宋_GB2312"/>
                <w:color w:val="000000"/>
                <w:sz w:val="28"/>
                <w:szCs w:val="28"/>
                <w:vertAlign w:val="baseline"/>
                <w:lang w:val="en-US" w:eastAsia="zh-CN"/>
              </w:rPr>
              <w:t>10</w:t>
            </w:r>
            <w:r>
              <w:rPr>
                <w:rFonts w:hint="eastAsia" w:ascii="仿宋_GB2312" w:hAnsi="仿宋_GB2312" w:eastAsia="仿宋_GB2312" w:cs="仿宋_GB2312"/>
                <w:color w:val="000000"/>
                <w:sz w:val="28"/>
                <w:szCs w:val="28"/>
                <w:vertAlign w:val="baseline"/>
              </w:rPr>
              <w:t>月</w:t>
            </w:r>
            <w:r>
              <w:rPr>
                <w:rFonts w:hint="eastAsia" w:ascii="仿宋_GB2312" w:hAnsi="仿宋_GB2312" w:cs="仿宋_GB2312"/>
                <w:color w:val="000000"/>
                <w:sz w:val="28"/>
                <w:szCs w:val="28"/>
                <w:vertAlign w:val="baseline"/>
                <w:lang w:val="en-US" w:eastAsia="zh-CN"/>
              </w:rPr>
              <w:t>31</w:t>
            </w:r>
            <w:r>
              <w:rPr>
                <w:rFonts w:hint="eastAsia" w:ascii="仿宋_GB2312" w:hAnsi="仿宋_GB2312" w:eastAsia="仿宋_GB2312" w:cs="仿宋_GB2312"/>
                <w:color w:val="000000"/>
                <w:sz w:val="28"/>
                <w:szCs w:val="28"/>
                <w:vertAlign w:val="baseline"/>
              </w:rPr>
              <w:t>日印发</w:t>
            </w:r>
          </w:p>
        </w:tc>
      </w:tr>
    </w:tbl>
    <w:p>
      <w:pPr>
        <w:pStyle w:val="2"/>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textAlignment w:val="auto"/>
        <w:rPr>
          <w:rFonts w:hint="eastAsia" w:eastAsia="方正仿宋简体"/>
          <w:lang w:eastAsia="zh-CN"/>
        </w:rPr>
      </w:pPr>
    </w:p>
    <w:p>
      <w:pPr>
        <w:pStyle w:val="2"/>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textAlignment w:val="auto"/>
        <w:rPr>
          <w:rFonts w:hint="eastAsia" w:eastAsia="方正仿宋简体"/>
          <w:lang w:eastAsia="zh-CN"/>
        </w:rPr>
      </w:pPr>
      <w:r>
        <w:rPr>
          <w:rFonts w:hint="eastAsia" w:ascii="黑体" w:hAnsi="黑体" w:eastAsia="黑体"/>
          <w:color w:val="000000"/>
          <w:szCs w:val="32"/>
        </w:rPr>
        <w:t>信息公开选项：</w:t>
      </w:r>
      <w:r>
        <w:rPr>
          <w:rFonts w:hint="eastAsia" w:ascii="黑体" w:hAnsi="黑体" w:eastAsia="黑体"/>
          <w:color w:val="000000"/>
          <w:szCs w:val="32"/>
          <w:lang w:val="en-US" w:eastAsia="zh-CN"/>
        </w:rPr>
        <w:t>主动</w:t>
      </w:r>
      <w:r>
        <w:rPr>
          <w:rFonts w:hint="eastAsia" w:ascii="黑体" w:hAnsi="黑体" w:eastAsia="黑体"/>
          <w:color w:val="000000"/>
          <w:szCs w:val="32"/>
        </w:rPr>
        <w:t>公开</w:t>
      </w:r>
    </w:p>
    <w:sectPr>
      <w:headerReference r:id="rId5" w:type="default"/>
      <w:footerReference r:id="rId6" w:type="default"/>
      <w:pgSz w:w="11906" w:h="16838"/>
      <w:pgMar w:top="2098" w:right="1474" w:bottom="1984" w:left="1587" w:header="851" w:footer="992" w:gutter="0"/>
      <w:pgNumType w:fmt="decimal" w:start="1"/>
      <w:cols w:space="0" w:num="1"/>
      <w:titlePg/>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altName w:val="方正仿宋_GBK"/>
    <w:panose1 w:val="02010601030101010101"/>
    <w:charset w:val="86"/>
    <w:family w:val="script"/>
    <w:pitch w:val="default"/>
    <w:sig w:usb0="00000000" w:usb1="00000000" w:usb2="00000000" w:usb3="00000000" w:csb0="00040000" w:csb1="00000000"/>
  </w:font>
  <w:font w:name="Consolas">
    <w:altName w:val="Liberation Sans Narrow"/>
    <w:panose1 w:val="020B0609020204030204"/>
    <w:charset w:val="00"/>
    <w:family w:val="modern"/>
    <w:pitch w:val="default"/>
    <w:sig w:usb0="00000000" w:usb1="00000000" w:usb2="00000001" w:usb3="00000000" w:csb0="6000019F" w:csb1="DFD7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420"/>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41A6E"/>
    <w:multiLevelType w:val="singleLevel"/>
    <w:tmpl w:val="A9C41A6E"/>
    <w:lvl w:ilvl="0" w:tentative="0">
      <w:start w:val="1"/>
      <w:numFmt w:val="chineseCounting"/>
      <w:pStyle w:val="3"/>
      <w:suff w:val="nothing"/>
      <w:lvlText w:val="%1、"/>
      <w:lvlJc w:val="left"/>
      <w:pPr>
        <w:ind w:left="0" w:firstLine="420"/>
      </w:pPr>
      <w:rPr>
        <w:rFonts w:hint="eastAsia"/>
      </w:rPr>
    </w:lvl>
  </w:abstractNum>
  <w:abstractNum w:abstractNumId="1">
    <w:nsid w:val="C01D0AF6"/>
    <w:multiLevelType w:val="singleLevel"/>
    <w:tmpl w:val="C01D0AF6"/>
    <w:lvl w:ilvl="0" w:tentative="0">
      <w:start w:val="1"/>
      <w:numFmt w:val="decimal"/>
      <w:pStyle w:val="6"/>
      <w:lvlText w:val="(%1)"/>
      <w:lvlJc w:val="left"/>
      <w:pPr>
        <w:tabs>
          <w:tab w:val="left" w:pos="0"/>
        </w:tabs>
        <w:ind w:left="0" w:firstLine="0"/>
      </w:pPr>
      <w:rPr>
        <w:rFonts w:hint="default"/>
      </w:rPr>
    </w:lvl>
  </w:abstractNum>
  <w:abstractNum w:abstractNumId="2">
    <w:nsid w:val="D54E3DB2"/>
    <w:multiLevelType w:val="singleLevel"/>
    <w:tmpl w:val="D54E3DB2"/>
    <w:lvl w:ilvl="0" w:tentative="0">
      <w:start w:val="1"/>
      <w:numFmt w:val="decimal"/>
      <w:pStyle w:val="7"/>
      <w:suff w:val="nothing"/>
      <w:lvlText w:val="（%1）"/>
      <w:lvlJc w:val="left"/>
    </w:lvl>
  </w:abstractNum>
  <w:abstractNum w:abstractNumId="3">
    <w:nsid w:val="DAC155E9"/>
    <w:multiLevelType w:val="singleLevel"/>
    <w:tmpl w:val="DAC155E9"/>
    <w:lvl w:ilvl="0" w:tentative="0">
      <w:start w:val="1"/>
      <w:numFmt w:val="decimal"/>
      <w:pStyle w:val="40"/>
      <w:suff w:val="space"/>
      <w:lvlText w:val="表5-%1 "/>
      <w:lvlJc w:val="left"/>
      <w:pPr>
        <w:tabs>
          <w:tab w:val="left" w:pos="0"/>
        </w:tabs>
        <w:ind w:left="0" w:firstLine="0"/>
      </w:pPr>
      <w:rPr>
        <w:rFonts w:hint="default" w:ascii="Times New Roman" w:hAnsi="Times New Roman" w:eastAsia="楷体" w:cs="宋体"/>
        <w:sz w:val="21"/>
      </w:rPr>
    </w:lvl>
  </w:abstractNum>
  <w:abstractNum w:abstractNumId="4">
    <w:nsid w:val="E12B2336"/>
    <w:multiLevelType w:val="singleLevel"/>
    <w:tmpl w:val="E12B2336"/>
    <w:lvl w:ilvl="0" w:tentative="0">
      <w:start w:val="1"/>
      <w:numFmt w:val="decimal"/>
      <w:pStyle w:val="5"/>
      <w:suff w:val="space"/>
      <w:lvlText w:val="%1."/>
      <w:lvlJc w:val="left"/>
      <w:pPr>
        <w:ind w:left="0" w:firstLine="0"/>
      </w:pPr>
      <w:rPr>
        <w:rFonts w:hint="default"/>
      </w:rPr>
    </w:lvl>
  </w:abstractNum>
  <w:abstractNum w:abstractNumId="5">
    <w:nsid w:val="E4F81092"/>
    <w:multiLevelType w:val="singleLevel"/>
    <w:tmpl w:val="E4F81092"/>
    <w:lvl w:ilvl="0" w:tentative="0">
      <w:start w:val="1"/>
      <w:numFmt w:val="decimal"/>
      <w:pStyle w:val="35"/>
      <w:suff w:val="space"/>
      <w:lvlText w:val="表1-%1 "/>
      <w:lvlJc w:val="left"/>
      <w:pPr>
        <w:ind w:left="17" w:hanging="17"/>
      </w:pPr>
      <w:rPr>
        <w:rFonts w:hint="default" w:ascii="Times New Roman" w:hAnsi="Times New Roman" w:eastAsia="楷体"/>
      </w:rPr>
    </w:lvl>
  </w:abstractNum>
  <w:abstractNum w:abstractNumId="6">
    <w:nsid w:val="02DA2E14"/>
    <w:multiLevelType w:val="singleLevel"/>
    <w:tmpl w:val="02DA2E14"/>
    <w:lvl w:ilvl="0" w:tentative="0">
      <w:start w:val="1"/>
      <w:numFmt w:val="decimal"/>
      <w:pStyle w:val="41"/>
      <w:suff w:val="space"/>
      <w:lvlText w:val="表7-%1 "/>
      <w:lvlJc w:val="left"/>
      <w:pPr>
        <w:tabs>
          <w:tab w:val="left" w:pos="0"/>
        </w:tabs>
        <w:ind w:left="0" w:firstLine="0"/>
      </w:pPr>
      <w:rPr>
        <w:rFonts w:hint="default" w:ascii="Times New Roman" w:hAnsi="Times New Roman" w:eastAsia="楷体" w:cs="宋体"/>
        <w:sz w:val="21"/>
      </w:rPr>
    </w:lvl>
  </w:abstractNum>
  <w:abstractNum w:abstractNumId="7">
    <w:nsid w:val="15D3224C"/>
    <w:multiLevelType w:val="singleLevel"/>
    <w:tmpl w:val="15D3224C"/>
    <w:lvl w:ilvl="0" w:tentative="0">
      <w:start w:val="1"/>
      <w:numFmt w:val="chineseCounting"/>
      <w:pStyle w:val="4"/>
      <w:suff w:val="nothing"/>
      <w:lvlText w:val="（%1）"/>
      <w:lvlJc w:val="left"/>
      <w:pPr>
        <w:ind w:left="0" w:firstLine="420"/>
      </w:pPr>
      <w:rPr>
        <w:rFonts w:hint="eastAsia"/>
      </w:rPr>
    </w:lvl>
  </w:abstractNum>
  <w:abstractNum w:abstractNumId="8">
    <w:nsid w:val="33DB4F41"/>
    <w:multiLevelType w:val="singleLevel"/>
    <w:tmpl w:val="33DB4F41"/>
    <w:lvl w:ilvl="0" w:tentative="0">
      <w:start w:val="1"/>
      <w:numFmt w:val="decimal"/>
      <w:pStyle w:val="38"/>
      <w:suff w:val="space"/>
      <w:lvlText w:val="表2-%1"/>
      <w:lvlJc w:val="left"/>
      <w:pPr>
        <w:tabs>
          <w:tab w:val="left" w:pos="0"/>
        </w:tabs>
        <w:ind w:left="0" w:firstLine="0"/>
      </w:pPr>
      <w:rPr>
        <w:rFonts w:hint="default" w:ascii="Times New Roman" w:hAnsi="Times New Roman" w:eastAsia="楷体" w:cs="宋体"/>
        <w:sz w:val="21"/>
      </w:rPr>
    </w:lvl>
  </w:abstractNum>
  <w:abstractNum w:abstractNumId="9">
    <w:nsid w:val="3E77D0D2"/>
    <w:multiLevelType w:val="singleLevel"/>
    <w:tmpl w:val="3E77D0D2"/>
    <w:lvl w:ilvl="0" w:tentative="0">
      <w:start w:val="1"/>
      <w:numFmt w:val="bullet"/>
      <w:suff w:val="space"/>
      <w:lvlText w:val=""/>
      <w:lvlJc w:val="left"/>
      <w:pPr>
        <w:ind w:left="0" w:firstLine="0"/>
      </w:pPr>
      <w:rPr>
        <w:rFonts w:hint="default" w:ascii="Wingdings" w:hAnsi="Wingdings"/>
      </w:rPr>
    </w:lvl>
  </w:abstractNum>
  <w:abstractNum w:abstractNumId="10">
    <w:nsid w:val="4652E1ED"/>
    <w:multiLevelType w:val="singleLevel"/>
    <w:tmpl w:val="4652E1ED"/>
    <w:lvl w:ilvl="0" w:tentative="0">
      <w:start w:val="1"/>
      <w:numFmt w:val="decimal"/>
      <w:pStyle w:val="34"/>
      <w:lvlText w:val="表%1 "/>
      <w:lvlJc w:val="left"/>
      <w:pPr>
        <w:tabs>
          <w:tab w:val="left" w:pos="420"/>
        </w:tabs>
        <w:ind w:left="425" w:hanging="425"/>
      </w:pPr>
      <w:rPr>
        <w:rFonts w:hint="default" w:ascii="Times New Roman" w:hAnsi="Times New Roman" w:eastAsia="楷体" w:cs="宋体"/>
        <w:b/>
        <w:sz w:val="21"/>
      </w:rPr>
    </w:lvl>
  </w:abstractNum>
  <w:abstractNum w:abstractNumId="11">
    <w:nsid w:val="472BAE00"/>
    <w:multiLevelType w:val="singleLevel"/>
    <w:tmpl w:val="472BAE00"/>
    <w:lvl w:ilvl="0" w:tentative="0">
      <w:start w:val="1"/>
      <w:numFmt w:val="decimal"/>
      <w:pStyle w:val="42"/>
      <w:suff w:val="space"/>
      <w:lvlText w:val="表8-%1 "/>
      <w:lvlJc w:val="left"/>
      <w:pPr>
        <w:tabs>
          <w:tab w:val="left" w:pos="0"/>
        </w:tabs>
        <w:ind w:left="0" w:firstLine="0"/>
      </w:pPr>
      <w:rPr>
        <w:rFonts w:hint="default" w:ascii="Times New Roman" w:hAnsi="Times New Roman" w:eastAsia="楷体" w:cs="宋体"/>
        <w:sz w:val="21"/>
      </w:rPr>
    </w:lvl>
  </w:abstractNum>
  <w:abstractNum w:abstractNumId="12">
    <w:nsid w:val="71CC6023"/>
    <w:multiLevelType w:val="singleLevel"/>
    <w:tmpl w:val="71CC6023"/>
    <w:lvl w:ilvl="0" w:tentative="0">
      <w:start w:val="1"/>
      <w:numFmt w:val="decimal"/>
      <w:pStyle w:val="39"/>
      <w:lvlText w:val="表4-%1"/>
      <w:lvlJc w:val="left"/>
      <w:pPr>
        <w:tabs>
          <w:tab w:val="left" w:pos="0"/>
        </w:tabs>
        <w:ind w:left="0" w:firstLine="0"/>
      </w:pPr>
      <w:rPr>
        <w:rFonts w:hint="default" w:ascii="Times New Roman" w:hAnsi="Times New Roman" w:eastAsia="楷体" w:cs="宋体"/>
        <w:sz w:val="21"/>
      </w:rPr>
    </w:lvl>
  </w:abstractNum>
  <w:abstractNum w:abstractNumId="13">
    <w:nsid w:val="7207CB39"/>
    <w:multiLevelType w:val="singleLevel"/>
    <w:tmpl w:val="7207CB39"/>
    <w:lvl w:ilvl="0" w:tentative="0">
      <w:start w:val="1"/>
      <w:numFmt w:val="decimal"/>
      <w:pStyle w:val="37"/>
      <w:suff w:val="space"/>
      <w:lvlText w:val="图2-%1 "/>
      <w:lvlJc w:val="left"/>
      <w:pPr>
        <w:tabs>
          <w:tab w:val="left" w:pos="420"/>
        </w:tabs>
        <w:ind w:left="0" w:firstLine="0"/>
      </w:pPr>
      <w:rPr>
        <w:rFonts w:hint="default" w:ascii="Times New Roman" w:hAnsi="Times New Roman" w:eastAsia="楷体" w:cs="宋体"/>
      </w:rPr>
    </w:lvl>
  </w:abstractNum>
  <w:num w:numId="1">
    <w:abstractNumId w:val="0"/>
  </w:num>
  <w:num w:numId="2">
    <w:abstractNumId w:val="7"/>
  </w:num>
  <w:num w:numId="3">
    <w:abstractNumId w:val="4"/>
  </w:num>
  <w:num w:numId="4">
    <w:abstractNumId w:val="1"/>
  </w:num>
  <w:num w:numId="5">
    <w:abstractNumId w:val="2"/>
  </w:num>
  <w:num w:numId="6">
    <w:abstractNumId w:val="10"/>
  </w:num>
  <w:num w:numId="7">
    <w:abstractNumId w:val="5"/>
  </w:num>
  <w:num w:numId="8">
    <w:abstractNumId w:val="13"/>
  </w:num>
  <w:num w:numId="9">
    <w:abstractNumId w:val="8"/>
  </w:num>
  <w:num w:numId="10">
    <w:abstractNumId w:val="12"/>
  </w:num>
  <w:num w:numId="11">
    <w:abstractNumId w:val="3"/>
  </w:num>
  <w:num w:numId="12">
    <w:abstractNumId w:val="6"/>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220"/>
  <w:displayHorizontalDrawingGridEvery w:val="1"/>
  <w:displayVerticalDrawingGridEvery w:val="2"/>
  <w:noPunctuationKerning w:val="true"/>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iZDQwOTk1ZTBmMGVlNWEyNGVkOWI3MWI0N2Q1NTkifQ=="/>
  </w:docVars>
  <w:rsids>
    <w:rsidRoot w:val="00172A27"/>
    <w:rsid w:val="00064376"/>
    <w:rsid w:val="0008523D"/>
    <w:rsid w:val="000A3F77"/>
    <w:rsid w:val="000B4F0F"/>
    <w:rsid w:val="000D1A39"/>
    <w:rsid w:val="00165A34"/>
    <w:rsid w:val="00172A27"/>
    <w:rsid w:val="00197970"/>
    <w:rsid w:val="001C4388"/>
    <w:rsid w:val="001F373A"/>
    <w:rsid w:val="00200B49"/>
    <w:rsid w:val="00243AE5"/>
    <w:rsid w:val="00272A6E"/>
    <w:rsid w:val="00285064"/>
    <w:rsid w:val="002B1B9A"/>
    <w:rsid w:val="002B5FA6"/>
    <w:rsid w:val="002C66BA"/>
    <w:rsid w:val="002D604B"/>
    <w:rsid w:val="00307E86"/>
    <w:rsid w:val="003343D9"/>
    <w:rsid w:val="003768F2"/>
    <w:rsid w:val="003925C4"/>
    <w:rsid w:val="003C455D"/>
    <w:rsid w:val="003D20D0"/>
    <w:rsid w:val="004112F7"/>
    <w:rsid w:val="00413141"/>
    <w:rsid w:val="00422754"/>
    <w:rsid w:val="004251C4"/>
    <w:rsid w:val="0045531A"/>
    <w:rsid w:val="0047177C"/>
    <w:rsid w:val="004B6FBD"/>
    <w:rsid w:val="004D6CBF"/>
    <w:rsid w:val="004F4A28"/>
    <w:rsid w:val="005467C3"/>
    <w:rsid w:val="00555429"/>
    <w:rsid w:val="00570B18"/>
    <w:rsid w:val="005A4344"/>
    <w:rsid w:val="005D56AD"/>
    <w:rsid w:val="006005B3"/>
    <w:rsid w:val="00612135"/>
    <w:rsid w:val="00680183"/>
    <w:rsid w:val="006B6145"/>
    <w:rsid w:val="006C6154"/>
    <w:rsid w:val="006F3C2F"/>
    <w:rsid w:val="00710945"/>
    <w:rsid w:val="0071778A"/>
    <w:rsid w:val="007457D5"/>
    <w:rsid w:val="00762152"/>
    <w:rsid w:val="00764F49"/>
    <w:rsid w:val="007A06A4"/>
    <w:rsid w:val="007A52A3"/>
    <w:rsid w:val="007B36C0"/>
    <w:rsid w:val="007C7649"/>
    <w:rsid w:val="007E7A2F"/>
    <w:rsid w:val="007F48A4"/>
    <w:rsid w:val="008063C3"/>
    <w:rsid w:val="008358A5"/>
    <w:rsid w:val="008477EB"/>
    <w:rsid w:val="00850782"/>
    <w:rsid w:val="00860FC4"/>
    <w:rsid w:val="00886328"/>
    <w:rsid w:val="00900249"/>
    <w:rsid w:val="00922F53"/>
    <w:rsid w:val="00940928"/>
    <w:rsid w:val="00984638"/>
    <w:rsid w:val="009B5826"/>
    <w:rsid w:val="009C7E23"/>
    <w:rsid w:val="009D7649"/>
    <w:rsid w:val="009F58CF"/>
    <w:rsid w:val="00AB0091"/>
    <w:rsid w:val="00AB7ADF"/>
    <w:rsid w:val="00AC6C23"/>
    <w:rsid w:val="00AD4755"/>
    <w:rsid w:val="00AD5D09"/>
    <w:rsid w:val="00AD5D51"/>
    <w:rsid w:val="00B47493"/>
    <w:rsid w:val="00B722C4"/>
    <w:rsid w:val="00B813E7"/>
    <w:rsid w:val="00BC3457"/>
    <w:rsid w:val="00BC498A"/>
    <w:rsid w:val="00BE795F"/>
    <w:rsid w:val="00BF34EA"/>
    <w:rsid w:val="00C07688"/>
    <w:rsid w:val="00C424A8"/>
    <w:rsid w:val="00C7783C"/>
    <w:rsid w:val="00CC1F4C"/>
    <w:rsid w:val="00CE1B36"/>
    <w:rsid w:val="00CF34C8"/>
    <w:rsid w:val="00D34C95"/>
    <w:rsid w:val="00D35913"/>
    <w:rsid w:val="00D72647"/>
    <w:rsid w:val="00D87198"/>
    <w:rsid w:val="00D90736"/>
    <w:rsid w:val="00DF2418"/>
    <w:rsid w:val="00DF5648"/>
    <w:rsid w:val="00E0212E"/>
    <w:rsid w:val="00E02A77"/>
    <w:rsid w:val="00E04C31"/>
    <w:rsid w:val="00E42DFC"/>
    <w:rsid w:val="00E44895"/>
    <w:rsid w:val="00E67049"/>
    <w:rsid w:val="00EB1786"/>
    <w:rsid w:val="00EF032C"/>
    <w:rsid w:val="00EF7B63"/>
    <w:rsid w:val="00F55328"/>
    <w:rsid w:val="00F74DBC"/>
    <w:rsid w:val="00FA7898"/>
    <w:rsid w:val="00FA7C4C"/>
    <w:rsid w:val="00FD19FB"/>
    <w:rsid w:val="00FF6C29"/>
    <w:rsid w:val="01466709"/>
    <w:rsid w:val="018B50FC"/>
    <w:rsid w:val="019F139E"/>
    <w:rsid w:val="01DC021A"/>
    <w:rsid w:val="021A35CD"/>
    <w:rsid w:val="027170EB"/>
    <w:rsid w:val="02B94F5A"/>
    <w:rsid w:val="02C5175D"/>
    <w:rsid w:val="02EB066B"/>
    <w:rsid w:val="0307690C"/>
    <w:rsid w:val="035D629F"/>
    <w:rsid w:val="037B6EE0"/>
    <w:rsid w:val="037E4AB2"/>
    <w:rsid w:val="03996C49"/>
    <w:rsid w:val="03B518F4"/>
    <w:rsid w:val="03C7455C"/>
    <w:rsid w:val="03D07D02"/>
    <w:rsid w:val="04257DD0"/>
    <w:rsid w:val="04565F42"/>
    <w:rsid w:val="047E3969"/>
    <w:rsid w:val="04873378"/>
    <w:rsid w:val="04B353D6"/>
    <w:rsid w:val="04C32BCE"/>
    <w:rsid w:val="05031314"/>
    <w:rsid w:val="051803CF"/>
    <w:rsid w:val="051D4CDC"/>
    <w:rsid w:val="05774A16"/>
    <w:rsid w:val="05810D93"/>
    <w:rsid w:val="058434B5"/>
    <w:rsid w:val="05994739"/>
    <w:rsid w:val="05997AE3"/>
    <w:rsid w:val="0650090B"/>
    <w:rsid w:val="068E066B"/>
    <w:rsid w:val="06EF17EC"/>
    <w:rsid w:val="07365A77"/>
    <w:rsid w:val="074E256A"/>
    <w:rsid w:val="075634B6"/>
    <w:rsid w:val="076009A5"/>
    <w:rsid w:val="076E66BF"/>
    <w:rsid w:val="07841C07"/>
    <w:rsid w:val="078562D3"/>
    <w:rsid w:val="079859E5"/>
    <w:rsid w:val="07F959DC"/>
    <w:rsid w:val="081C0F0C"/>
    <w:rsid w:val="083639C7"/>
    <w:rsid w:val="084978EE"/>
    <w:rsid w:val="084D44B1"/>
    <w:rsid w:val="086F5F3D"/>
    <w:rsid w:val="08B47F09"/>
    <w:rsid w:val="08C93A81"/>
    <w:rsid w:val="08D6178A"/>
    <w:rsid w:val="09336666"/>
    <w:rsid w:val="09580808"/>
    <w:rsid w:val="099708F2"/>
    <w:rsid w:val="09C3630B"/>
    <w:rsid w:val="09E76090"/>
    <w:rsid w:val="09F84DEA"/>
    <w:rsid w:val="0A5A505F"/>
    <w:rsid w:val="0A696793"/>
    <w:rsid w:val="0A830FFD"/>
    <w:rsid w:val="0A854A14"/>
    <w:rsid w:val="0AC64B1F"/>
    <w:rsid w:val="0B2D4423"/>
    <w:rsid w:val="0B544033"/>
    <w:rsid w:val="0B736E38"/>
    <w:rsid w:val="0B7A71DA"/>
    <w:rsid w:val="0BBC581D"/>
    <w:rsid w:val="0BBF6FAE"/>
    <w:rsid w:val="0BC8744A"/>
    <w:rsid w:val="0BE065C3"/>
    <w:rsid w:val="0C606BFE"/>
    <w:rsid w:val="0C826B61"/>
    <w:rsid w:val="0C8D296A"/>
    <w:rsid w:val="0D173D1A"/>
    <w:rsid w:val="0D491D31"/>
    <w:rsid w:val="0DB17043"/>
    <w:rsid w:val="0DC029FC"/>
    <w:rsid w:val="0DFE1C57"/>
    <w:rsid w:val="0E367639"/>
    <w:rsid w:val="0E437011"/>
    <w:rsid w:val="0E4B02DF"/>
    <w:rsid w:val="0E725D72"/>
    <w:rsid w:val="0E864B0E"/>
    <w:rsid w:val="0E8F2188"/>
    <w:rsid w:val="0ED27BF1"/>
    <w:rsid w:val="0EEB7018"/>
    <w:rsid w:val="0F00723B"/>
    <w:rsid w:val="0F0907FC"/>
    <w:rsid w:val="0F1D1488"/>
    <w:rsid w:val="0F641CC2"/>
    <w:rsid w:val="0F666259"/>
    <w:rsid w:val="0FB856FC"/>
    <w:rsid w:val="0FF7199E"/>
    <w:rsid w:val="107701A9"/>
    <w:rsid w:val="107F5456"/>
    <w:rsid w:val="1094223F"/>
    <w:rsid w:val="109B08F3"/>
    <w:rsid w:val="10F664AE"/>
    <w:rsid w:val="110D2F86"/>
    <w:rsid w:val="114B2FEA"/>
    <w:rsid w:val="11722CE9"/>
    <w:rsid w:val="11C92723"/>
    <w:rsid w:val="12430D91"/>
    <w:rsid w:val="12540EE6"/>
    <w:rsid w:val="126F091E"/>
    <w:rsid w:val="12D31751"/>
    <w:rsid w:val="12EC0D56"/>
    <w:rsid w:val="130D76BA"/>
    <w:rsid w:val="13274450"/>
    <w:rsid w:val="13282C7A"/>
    <w:rsid w:val="13793609"/>
    <w:rsid w:val="13CC6506"/>
    <w:rsid w:val="13E97512"/>
    <w:rsid w:val="13EE4903"/>
    <w:rsid w:val="13FB293B"/>
    <w:rsid w:val="140D1C3F"/>
    <w:rsid w:val="1416306B"/>
    <w:rsid w:val="14687F3E"/>
    <w:rsid w:val="146B182F"/>
    <w:rsid w:val="146C3E48"/>
    <w:rsid w:val="14764AAE"/>
    <w:rsid w:val="1490006F"/>
    <w:rsid w:val="149B18CD"/>
    <w:rsid w:val="14C51F79"/>
    <w:rsid w:val="1501296B"/>
    <w:rsid w:val="15286497"/>
    <w:rsid w:val="15865190"/>
    <w:rsid w:val="16163B29"/>
    <w:rsid w:val="162D62AA"/>
    <w:rsid w:val="1633145F"/>
    <w:rsid w:val="167F1AE3"/>
    <w:rsid w:val="168A03A6"/>
    <w:rsid w:val="16940840"/>
    <w:rsid w:val="16CC0B73"/>
    <w:rsid w:val="17616F0B"/>
    <w:rsid w:val="17865A66"/>
    <w:rsid w:val="17F05E8A"/>
    <w:rsid w:val="182E4BBF"/>
    <w:rsid w:val="1838395F"/>
    <w:rsid w:val="183A6411"/>
    <w:rsid w:val="18432048"/>
    <w:rsid w:val="18695500"/>
    <w:rsid w:val="187B075B"/>
    <w:rsid w:val="189F2D38"/>
    <w:rsid w:val="18DC0301"/>
    <w:rsid w:val="18EE2B22"/>
    <w:rsid w:val="18FA71C7"/>
    <w:rsid w:val="19027466"/>
    <w:rsid w:val="195D5CDD"/>
    <w:rsid w:val="197D53F2"/>
    <w:rsid w:val="19891C8C"/>
    <w:rsid w:val="198C0B49"/>
    <w:rsid w:val="19EB07BB"/>
    <w:rsid w:val="1A1D4012"/>
    <w:rsid w:val="1A4805BC"/>
    <w:rsid w:val="1A487CFF"/>
    <w:rsid w:val="1A4E5BE8"/>
    <w:rsid w:val="1A6E0B4D"/>
    <w:rsid w:val="1A8E206E"/>
    <w:rsid w:val="1AAB7631"/>
    <w:rsid w:val="1AB919C5"/>
    <w:rsid w:val="1AE63523"/>
    <w:rsid w:val="1AF6398D"/>
    <w:rsid w:val="1B836B06"/>
    <w:rsid w:val="1B9E545A"/>
    <w:rsid w:val="1BF4170F"/>
    <w:rsid w:val="1BF52360"/>
    <w:rsid w:val="1BFCE4A9"/>
    <w:rsid w:val="1C591657"/>
    <w:rsid w:val="1C8B5C43"/>
    <w:rsid w:val="1CCE7798"/>
    <w:rsid w:val="1CF31AB8"/>
    <w:rsid w:val="1D081A36"/>
    <w:rsid w:val="1D391C3F"/>
    <w:rsid w:val="1D414C02"/>
    <w:rsid w:val="1D535678"/>
    <w:rsid w:val="1D8248CD"/>
    <w:rsid w:val="1D8907B6"/>
    <w:rsid w:val="1D94520B"/>
    <w:rsid w:val="1D952FC2"/>
    <w:rsid w:val="1DC355F2"/>
    <w:rsid w:val="1DF40F4C"/>
    <w:rsid w:val="1E044690"/>
    <w:rsid w:val="1E540816"/>
    <w:rsid w:val="1E5865FF"/>
    <w:rsid w:val="1E915382"/>
    <w:rsid w:val="1E972621"/>
    <w:rsid w:val="1E9D3AEE"/>
    <w:rsid w:val="1EC22F46"/>
    <w:rsid w:val="1EC67C52"/>
    <w:rsid w:val="1EE078F7"/>
    <w:rsid w:val="1EF42A1D"/>
    <w:rsid w:val="1EF56FEF"/>
    <w:rsid w:val="1EFB898F"/>
    <w:rsid w:val="1F4F3048"/>
    <w:rsid w:val="1F687603"/>
    <w:rsid w:val="1F893F01"/>
    <w:rsid w:val="1FAF5D24"/>
    <w:rsid w:val="1FDD3624"/>
    <w:rsid w:val="1FFFB9B5"/>
    <w:rsid w:val="200973B8"/>
    <w:rsid w:val="20255225"/>
    <w:rsid w:val="202F09A4"/>
    <w:rsid w:val="206D6F90"/>
    <w:rsid w:val="20946D5A"/>
    <w:rsid w:val="20970477"/>
    <w:rsid w:val="20D560C6"/>
    <w:rsid w:val="20D944E8"/>
    <w:rsid w:val="20DA7FE3"/>
    <w:rsid w:val="21331344"/>
    <w:rsid w:val="213D1374"/>
    <w:rsid w:val="214C7E89"/>
    <w:rsid w:val="215378F3"/>
    <w:rsid w:val="216C7AD2"/>
    <w:rsid w:val="21A52536"/>
    <w:rsid w:val="21B97768"/>
    <w:rsid w:val="21E32469"/>
    <w:rsid w:val="22236B9E"/>
    <w:rsid w:val="22303DAE"/>
    <w:rsid w:val="225E614A"/>
    <w:rsid w:val="22840928"/>
    <w:rsid w:val="22AF8BD8"/>
    <w:rsid w:val="22B51A81"/>
    <w:rsid w:val="22B8186C"/>
    <w:rsid w:val="22D452BF"/>
    <w:rsid w:val="23265C1B"/>
    <w:rsid w:val="233B383F"/>
    <w:rsid w:val="234D30E9"/>
    <w:rsid w:val="23623E37"/>
    <w:rsid w:val="23784CD6"/>
    <w:rsid w:val="23C27461"/>
    <w:rsid w:val="23DE32C0"/>
    <w:rsid w:val="23EE4293"/>
    <w:rsid w:val="23FB2A46"/>
    <w:rsid w:val="23FC1FEA"/>
    <w:rsid w:val="240B4EFD"/>
    <w:rsid w:val="24497B63"/>
    <w:rsid w:val="246B35AD"/>
    <w:rsid w:val="24DE4F07"/>
    <w:rsid w:val="2507013A"/>
    <w:rsid w:val="254B3EB8"/>
    <w:rsid w:val="25660A50"/>
    <w:rsid w:val="258B67BB"/>
    <w:rsid w:val="25901742"/>
    <w:rsid w:val="25A916FC"/>
    <w:rsid w:val="25C27E75"/>
    <w:rsid w:val="25D52B74"/>
    <w:rsid w:val="26061C43"/>
    <w:rsid w:val="26A65187"/>
    <w:rsid w:val="26DB769C"/>
    <w:rsid w:val="26ED5B4A"/>
    <w:rsid w:val="26F020E1"/>
    <w:rsid w:val="2750477B"/>
    <w:rsid w:val="279B4DBB"/>
    <w:rsid w:val="2824486F"/>
    <w:rsid w:val="283B7B44"/>
    <w:rsid w:val="28601EA6"/>
    <w:rsid w:val="2870382E"/>
    <w:rsid w:val="28F80986"/>
    <w:rsid w:val="295E5F6F"/>
    <w:rsid w:val="298B3B63"/>
    <w:rsid w:val="299227A6"/>
    <w:rsid w:val="29922D40"/>
    <w:rsid w:val="29C52B39"/>
    <w:rsid w:val="29D40E99"/>
    <w:rsid w:val="2A01170A"/>
    <w:rsid w:val="2A2C3BB2"/>
    <w:rsid w:val="2A40708A"/>
    <w:rsid w:val="2A726E04"/>
    <w:rsid w:val="2A743681"/>
    <w:rsid w:val="2A8664E8"/>
    <w:rsid w:val="2A98624A"/>
    <w:rsid w:val="2AA031E5"/>
    <w:rsid w:val="2AEA0ABF"/>
    <w:rsid w:val="2AFC6ADF"/>
    <w:rsid w:val="2B5209EA"/>
    <w:rsid w:val="2B587D5F"/>
    <w:rsid w:val="2B8A133D"/>
    <w:rsid w:val="2B8B31D0"/>
    <w:rsid w:val="2BBA4134"/>
    <w:rsid w:val="2BC00817"/>
    <w:rsid w:val="2BE95F3C"/>
    <w:rsid w:val="2BFE54B7"/>
    <w:rsid w:val="2BFFBE8A"/>
    <w:rsid w:val="2C3378C2"/>
    <w:rsid w:val="2C9F7A66"/>
    <w:rsid w:val="2CEA5CF4"/>
    <w:rsid w:val="2CFE7106"/>
    <w:rsid w:val="2CFF2B56"/>
    <w:rsid w:val="2D1F7A77"/>
    <w:rsid w:val="2D285A4E"/>
    <w:rsid w:val="2D6052B2"/>
    <w:rsid w:val="2D6C063C"/>
    <w:rsid w:val="2D7E4A96"/>
    <w:rsid w:val="2D8D35F7"/>
    <w:rsid w:val="2D974C46"/>
    <w:rsid w:val="2D9E7025"/>
    <w:rsid w:val="2DB6EFEE"/>
    <w:rsid w:val="2DD374D9"/>
    <w:rsid w:val="2DE64720"/>
    <w:rsid w:val="2E3D3914"/>
    <w:rsid w:val="2E6E1C6A"/>
    <w:rsid w:val="2E774F83"/>
    <w:rsid w:val="2E9A58D4"/>
    <w:rsid w:val="2E9E5C60"/>
    <w:rsid w:val="2EB650EF"/>
    <w:rsid w:val="2EBD209A"/>
    <w:rsid w:val="2EEC0E57"/>
    <w:rsid w:val="2EFFB5A0"/>
    <w:rsid w:val="2F0B7DAF"/>
    <w:rsid w:val="2F3A8E8A"/>
    <w:rsid w:val="2F460977"/>
    <w:rsid w:val="2F8F1EA9"/>
    <w:rsid w:val="2FA535E8"/>
    <w:rsid w:val="2FAE75D3"/>
    <w:rsid w:val="2FB86A80"/>
    <w:rsid w:val="2FBC1A73"/>
    <w:rsid w:val="2FD52262"/>
    <w:rsid w:val="300C40AA"/>
    <w:rsid w:val="30147CC5"/>
    <w:rsid w:val="30190FF0"/>
    <w:rsid w:val="302932D0"/>
    <w:rsid w:val="30307C54"/>
    <w:rsid w:val="3042733E"/>
    <w:rsid w:val="30846C4B"/>
    <w:rsid w:val="31155FA4"/>
    <w:rsid w:val="311C3B32"/>
    <w:rsid w:val="316E32F9"/>
    <w:rsid w:val="317E7624"/>
    <w:rsid w:val="31CF7899"/>
    <w:rsid w:val="31D34E5E"/>
    <w:rsid w:val="31E17D8A"/>
    <w:rsid w:val="31FA0452"/>
    <w:rsid w:val="31FB6FC8"/>
    <w:rsid w:val="3216059A"/>
    <w:rsid w:val="32196C34"/>
    <w:rsid w:val="321B0E8E"/>
    <w:rsid w:val="32380634"/>
    <w:rsid w:val="324C1BF8"/>
    <w:rsid w:val="32543F3F"/>
    <w:rsid w:val="326079FC"/>
    <w:rsid w:val="32672197"/>
    <w:rsid w:val="32AB313D"/>
    <w:rsid w:val="32C07ECE"/>
    <w:rsid w:val="32E761BC"/>
    <w:rsid w:val="3301310E"/>
    <w:rsid w:val="33042ACB"/>
    <w:rsid w:val="3312371D"/>
    <w:rsid w:val="334F1932"/>
    <w:rsid w:val="33B81D84"/>
    <w:rsid w:val="33D24B83"/>
    <w:rsid w:val="33F64C05"/>
    <w:rsid w:val="34033A6F"/>
    <w:rsid w:val="34072AF7"/>
    <w:rsid w:val="3432577E"/>
    <w:rsid w:val="34421E74"/>
    <w:rsid w:val="344C0448"/>
    <w:rsid w:val="3458014E"/>
    <w:rsid w:val="345C3853"/>
    <w:rsid w:val="34686FEE"/>
    <w:rsid w:val="3485528B"/>
    <w:rsid w:val="34E61283"/>
    <w:rsid w:val="34F442BC"/>
    <w:rsid w:val="35374DE9"/>
    <w:rsid w:val="35522829"/>
    <w:rsid w:val="35776467"/>
    <w:rsid w:val="35CE0636"/>
    <w:rsid w:val="35FE1C9A"/>
    <w:rsid w:val="36187567"/>
    <w:rsid w:val="36190F07"/>
    <w:rsid w:val="362857CA"/>
    <w:rsid w:val="363F080F"/>
    <w:rsid w:val="36564DDE"/>
    <w:rsid w:val="366656CA"/>
    <w:rsid w:val="366C63CA"/>
    <w:rsid w:val="36706B12"/>
    <w:rsid w:val="36790658"/>
    <w:rsid w:val="36FA5404"/>
    <w:rsid w:val="377B3D4F"/>
    <w:rsid w:val="37A30253"/>
    <w:rsid w:val="37BD2F82"/>
    <w:rsid w:val="37D73A98"/>
    <w:rsid w:val="37F0567A"/>
    <w:rsid w:val="38017160"/>
    <w:rsid w:val="38264ECB"/>
    <w:rsid w:val="38420472"/>
    <w:rsid w:val="384C488E"/>
    <w:rsid w:val="38660703"/>
    <w:rsid w:val="38925E9E"/>
    <w:rsid w:val="38C600B7"/>
    <w:rsid w:val="38D91310"/>
    <w:rsid w:val="390617CC"/>
    <w:rsid w:val="39397BF0"/>
    <w:rsid w:val="39467372"/>
    <w:rsid w:val="396A2942"/>
    <w:rsid w:val="398E215F"/>
    <w:rsid w:val="39BF13F0"/>
    <w:rsid w:val="3A663365"/>
    <w:rsid w:val="3ABB2F9D"/>
    <w:rsid w:val="3ACB2759"/>
    <w:rsid w:val="3ACC3CAF"/>
    <w:rsid w:val="3ADB48A4"/>
    <w:rsid w:val="3AE532A3"/>
    <w:rsid w:val="3B2425FA"/>
    <w:rsid w:val="3B265041"/>
    <w:rsid w:val="3B3E361F"/>
    <w:rsid w:val="3B4079BA"/>
    <w:rsid w:val="3B6822E0"/>
    <w:rsid w:val="3B6D60CB"/>
    <w:rsid w:val="3B7F232A"/>
    <w:rsid w:val="3BA27DB7"/>
    <w:rsid w:val="3BBA624F"/>
    <w:rsid w:val="3BCB2B2F"/>
    <w:rsid w:val="3C7A7688"/>
    <w:rsid w:val="3CCD791F"/>
    <w:rsid w:val="3CF17533"/>
    <w:rsid w:val="3CFC18DA"/>
    <w:rsid w:val="3D1B3040"/>
    <w:rsid w:val="3D4518F9"/>
    <w:rsid w:val="3D700E28"/>
    <w:rsid w:val="3D7F6CDB"/>
    <w:rsid w:val="3D86136B"/>
    <w:rsid w:val="3DAE25AD"/>
    <w:rsid w:val="3E2C0CFE"/>
    <w:rsid w:val="3E46001B"/>
    <w:rsid w:val="3E4E4397"/>
    <w:rsid w:val="3E6E3111"/>
    <w:rsid w:val="3E972CC1"/>
    <w:rsid w:val="3EC53606"/>
    <w:rsid w:val="3ECC7ED6"/>
    <w:rsid w:val="3EDEA341"/>
    <w:rsid w:val="3EE37E6B"/>
    <w:rsid w:val="3F0C3168"/>
    <w:rsid w:val="3F356A60"/>
    <w:rsid w:val="3F556B52"/>
    <w:rsid w:val="3F57E69E"/>
    <w:rsid w:val="3F7B4804"/>
    <w:rsid w:val="3FA91F3A"/>
    <w:rsid w:val="3FADBB89"/>
    <w:rsid w:val="3FC659E9"/>
    <w:rsid w:val="3FE8ACB6"/>
    <w:rsid w:val="408A130B"/>
    <w:rsid w:val="409B3793"/>
    <w:rsid w:val="40C144A0"/>
    <w:rsid w:val="40CD4D2D"/>
    <w:rsid w:val="41055CB3"/>
    <w:rsid w:val="411D4F7C"/>
    <w:rsid w:val="41985031"/>
    <w:rsid w:val="41C17610"/>
    <w:rsid w:val="42106D3C"/>
    <w:rsid w:val="42383DB0"/>
    <w:rsid w:val="42A97A58"/>
    <w:rsid w:val="42C20805"/>
    <w:rsid w:val="432A16DC"/>
    <w:rsid w:val="43405479"/>
    <w:rsid w:val="43567CD7"/>
    <w:rsid w:val="43A86732"/>
    <w:rsid w:val="43D8519C"/>
    <w:rsid w:val="43E34FBC"/>
    <w:rsid w:val="43F94254"/>
    <w:rsid w:val="441162A6"/>
    <w:rsid w:val="445354F2"/>
    <w:rsid w:val="44D12018"/>
    <w:rsid w:val="44D27571"/>
    <w:rsid w:val="44D7789F"/>
    <w:rsid w:val="44FD65FE"/>
    <w:rsid w:val="450307AC"/>
    <w:rsid w:val="451E3D8A"/>
    <w:rsid w:val="453B5B8A"/>
    <w:rsid w:val="4575621B"/>
    <w:rsid w:val="45A605FE"/>
    <w:rsid w:val="46062F9B"/>
    <w:rsid w:val="46171287"/>
    <w:rsid w:val="4640387E"/>
    <w:rsid w:val="46630487"/>
    <w:rsid w:val="46772E65"/>
    <w:rsid w:val="469A1FA5"/>
    <w:rsid w:val="473D3870"/>
    <w:rsid w:val="474A6D04"/>
    <w:rsid w:val="47555A74"/>
    <w:rsid w:val="4767288E"/>
    <w:rsid w:val="478C3507"/>
    <w:rsid w:val="479A6777"/>
    <w:rsid w:val="47A21E94"/>
    <w:rsid w:val="47BB03D2"/>
    <w:rsid w:val="47E95EC8"/>
    <w:rsid w:val="47FC6994"/>
    <w:rsid w:val="480000FA"/>
    <w:rsid w:val="48100265"/>
    <w:rsid w:val="482124F6"/>
    <w:rsid w:val="483D4D56"/>
    <w:rsid w:val="483E2947"/>
    <w:rsid w:val="48876515"/>
    <w:rsid w:val="48B32074"/>
    <w:rsid w:val="493400FF"/>
    <w:rsid w:val="496E5844"/>
    <w:rsid w:val="497FF8F2"/>
    <w:rsid w:val="49AB3023"/>
    <w:rsid w:val="49B16975"/>
    <w:rsid w:val="49B21C26"/>
    <w:rsid w:val="49E971EE"/>
    <w:rsid w:val="49F17B41"/>
    <w:rsid w:val="49FA767C"/>
    <w:rsid w:val="4A105973"/>
    <w:rsid w:val="4A1377F8"/>
    <w:rsid w:val="4A200E2F"/>
    <w:rsid w:val="4A4A1627"/>
    <w:rsid w:val="4A592C86"/>
    <w:rsid w:val="4A600D9F"/>
    <w:rsid w:val="4A7F16CA"/>
    <w:rsid w:val="4A992CD0"/>
    <w:rsid w:val="4AD941F2"/>
    <w:rsid w:val="4AE11BBA"/>
    <w:rsid w:val="4B281D95"/>
    <w:rsid w:val="4B2F0D61"/>
    <w:rsid w:val="4B585359"/>
    <w:rsid w:val="4B722952"/>
    <w:rsid w:val="4B801213"/>
    <w:rsid w:val="4B997A33"/>
    <w:rsid w:val="4C1C2CA5"/>
    <w:rsid w:val="4C4A1AB1"/>
    <w:rsid w:val="4C570621"/>
    <w:rsid w:val="4C6B6DE5"/>
    <w:rsid w:val="4C931575"/>
    <w:rsid w:val="4CE02C01"/>
    <w:rsid w:val="4D4151DF"/>
    <w:rsid w:val="4D501265"/>
    <w:rsid w:val="4D5B3076"/>
    <w:rsid w:val="4D6F38C0"/>
    <w:rsid w:val="4D736960"/>
    <w:rsid w:val="4DB35812"/>
    <w:rsid w:val="4DC374FA"/>
    <w:rsid w:val="4DD66C4C"/>
    <w:rsid w:val="4DF907FF"/>
    <w:rsid w:val="4E43683D"/>
    <w:rsid w:val="4E604A0E"/>
    <w:rsid w:val="4E6E1754"/>
    <w:rsid w:val="4E700852"/>
    <w:rsid w:val="4EBD4B72"/>
    <w:rsid w:val="4EF86762"/>
    <w:rsid w:val="4F191D2F"/>
    <w:rsid w:val="4F446B80"/>
    <w:rsid w:val="4F7E1336"/>
    <w:rsid w:val="4FA71AC9"/>
    <w:rsid w:val="4FC07C61"/>
    <w:rsid w:val="4FF444B8"/>
    <w:rsid w:val="4FFB57D4"/>
    <w:rsid w:val="50080D7E"/>
    <w:rsid w:val="508D62D5"/>
    <w:rsid w:val="50B37D32"/>
    <w:rsid w:val="50B66354"/>
    <w:rsid w:val="50BD0ED5"/>
    <w:rsid w:val="50C03D68"/>
    <w:rsid w:val="50DD0B45"/>
    <w:rsid w:val="50F104EC"/>
    <w:rsid w:val="50FD6FC9"/>
    <w:rsid w:val="510409F9"/>
    <w:rsid w:val="51132940"/>
    <w:rsid w:val="51234200"/>
    <w:rsid w:val="512F6EAC"/>
    <w:rsid w:val="516207BA"/>
    <w:rsid w:val="51AD08A9"/>
    <w:rsid w:val="51B91175"/>
    <w:rsid w:val="51E42DCD"/>
    <w:rsid w:val="51F81E35"/>
    <w:rsid w:val="52541BD9"/>
    <w:rsid w:val="5254200D"/>
    <w:rsid w:val="52563972"/>
    <w:rsid w:val="527941F8"/>
    <w:rsid w:val="52826BB9"/>
    <w:rsid w:val="529709D7"/>
    <w:rsid w:val="529F5A42"/>
    <w:rsid w:val="52C6586C"/>
    <w:rsid w:val="5300125D"/>
    <w:rsid w:val="534C53A9"/>
    <w:rsid w:val="53523E43"/>
    <w:rsid w:val="535F3C06"/>
    <w:rsid w:val="53A91F6A"/>
    <w:rsid w:val="53AB0BAB"/>
    <w:rsid w:val="53CE763B"/>
    <w:rsid w:val="53DC0A0A"/>
    <w:rsid w:val="542610CE"/>
    <w:rsid w:val="542C5306"/>
    <w:rsid w:val="543670E4"/>
    <w:rsid w:val="5458483F"/>
    <w:rsid w:val="546B69CE"/>
    <w:rsid w:val="54773B5A"/>
    <w:rsid w:val="547C1915"/>
    <w:rsid w:val="548E2952"/>
    <w:rsid w:val="54B617CD"/>
    <w:rsid w:val="54DA0A6C"/>
    <w:rsid w:val="54EF6BAD"/>
    <w:rsid w:val="55256C23"/>
    <w:rsid w:val="552938AC"/>
    <w:rsid w:val="556977DF"/>
    <w:rsid w:val="556B313F"/>
    <w:rsid w:val="55842699"/>
    <w:rsid w:val="55A07CFF"/>
    <w:rsid w:val="55B1180C"/>
    <w:rsid w:val="55D07267"/>
    <w:rsid w:val="56184209"/>
    <w:rsid w:val="565942B0"/>
    <w:rsid w:val="566427F6"/>
    <w:rsid w:val="568C0CE7"/>
    <w:rsid w:val="56CB500A"/>
    <w:rsid w:val="56E15551"/>
    <w:rsid w:val="56FFF26F"/>
    <w:rsid w:val="57090DCE"/>
    <w:rsid w:val="576F9E1C"/>
    <w:rsid w:val="5771362D"/>
    <w:rsid w:val="57BB3E70"/>
    <w:rsid w:val="57C348F5"/>
    <w:rsid w:val="57C82D3C"/>
    <w:rsid w:val="58133CB2"/>
    <w:rsid w:val="58490FFB"/>
    <w:rsid w:val="58E26061"/>
    <w:rsid w:val="58FF6304"/>
    <w:rsid w:val="59037C71"/>
    <w:rsid w:val="592B5E44"/>
    <w:rsid w:val="59342595"/>
    <w:rsid w:val="59796618"/>
    <w:rsid w:val="59BE6E9D"/>
    <w:rsid w:val="59C87F96"/>
    <w:rsid w:val="5A08532F"/>
    <w:rsid w:val="5A453D67"/>
    <w:rsid w:val="5A45475C"/>
    <w:rsid w:val="5A45694E"/>
    <w:rsid w:val="5A707F3C"/>
    <w:rsid w:val="5A9B51C4"/>
    <w:rsid w:val="5AA219F8"/>
    <w:rsid w:val="5B1C4E60"/>
    <w:rsid w:val="5B3F0D17"/>
    <w:rsid w:val="5B7001EA"/>
    <w:rsid w:val="5BDB6776"/>
    <w:rsid w:val="5BDB7D0B"/>
    <w:rsid w:val="5BE00F21"/>
    <w:rsid w:val="5BE93676"/>
    <w:rsid w:val="5BFD33D3"/>
    <w:rsid w:val="5C131C26"/>
    <w:rsid w:val="5C140629"/>
    <w:rsid w:val="5C2A37A2"/>
    <w:rsid w:val="5C714729"/>
    <w:rsid w:val="5CC827EE"/>
    <w:rsid w:val="5CDB4154"/>
    <w:rsid w:val="5D0D42B4"/>
    <w:rsid w:val="5D2F7B83"/>
    <w:rsid w:val="5D3E1273"/>
    <w:rsid w:val="5D4061DC"/>
    <w:rsid w:val="5D6E733A"/>
    <w:rsid w:val="5D7A4232"/>
    <w:rsid w:val="5D831DED"/>
    <w:rsid w:val="5D870FF4"/>
    <w:rsid w:val="5DAB47D4"/>
    <w:rsid w:val="5DD75F39"/>
    <w:rsid w:val="5E9527AA"/>
    <w:rsid w:val="5EA35AD0"/>
    <w:rsid w:val="5EE44E48"/>
    <w:rsid w:val="5F003DB8"/>
    <w:rsid w:val="5F2F066E"/>
    <w:rsid w:val="5F665BF5"/>
    <w:rsid w:val="5F9D3505"/>
    <w:rsid w:val="5FD71EF3"/>
    <w:rsid w:val="5FDB5615"/>
    <w:rsid w:val="5FED5152"/>
    <w:rsid w:val="60A47F3C"/>
    <w:rsid w:val="60DA766F"/>
    <w:rsid w:val="613622CC"/>
    <w:rsid w:val="61800358"/>
    <w:rsid w:val="618E501A"/>
    <w:rsid w:val="619E5ED9"/>
    <w:rsid w:val="62010539"/>
    <w:rsid w:val="62332D0D"/>
    <w:rsid w:val="62A225B3"/>
    <w:rsid w:val="62C25F90"/>
    <w:rsid w:val="62D22C93"/>
    <w:rsid w:val="62E1411D"/>
    <w:rsid w:val="62FB7D11"/>
    <w:rsid w:val="630556E7"/>
    <w:rsid w:val="63172055"/>
    <w:rsid w:val="635E25D2"/>
    <w:rsid w:val="636E623F"/>
    <w:rsid w:val="63732B77"/>
    <w:rsid w:val="639579CB"/>
    <w:rsid w:val="639E4471"/>
    <w:rsid w:val="63A81B04"/>
    <w:rsid w:val="63B26146"/>
    <w:rsid w:val="63DD3A82"/>
    <w:rsid w:val="6438260E"/>
    <w:rsid w:val="646B1432"/>
    <w:rsid w:val="647631AA"/>
    <w:rsid w:val="650D64D9"/>
    <w:rsid w:val="652D636D"/>
    <w:rsid w:val="654F0C2B"/>
    <w:rsid w:val="656C7B75"/>
    <w:rsid w:val="65BB3ABB"/>
    <w:rsid w:val="65C14EB3"/>
    <w:rsid w:val="65CA1170"/>
    <w:rsid w:val="65DD0E70"/>
    <w:rsid w:val="661C371C"/>
    <w:rsid w:val="66210247"/>
    <w:rsid w:val="66362E96"/>
    <w:rsid w:val="66779938"/>
    <w:rsid w:val="66870AB3"/>
    <w:rsid w:val="66B70666"/>
    <w:rsid w:val="66D952F4"/>
    <w:rsid w:val="6714720D"/>
    <w:rsid w:val="679D6026"/>
    <w:rsid w:val="67B10F26"/>
    <w:rsid w:val="67B87A5F"/>
    <w:rsid w:val="67BC3849"/>
    <w:rsid w:val="67D20378"/>
    <w:rsid w:val="67EE6651"/>
    <w:rsid w:val="682457E8"/>
    <w:rsid w:val="68327F83"/>
    <w:rsid w:val="686E1A7E"/>
    <w:rsid w:val="689D53D7"/>
    <w:rsid w:val="68A96403"/>
    <w:rsid w:val="68D62EDF"/>
    <w:rsid w:val="68DC3F96"/>
    <w:rsid w:val="69482A98"/>
    <w:rsid w:val="69882D85"/>
    <w:rsid w:val="69A12CD4"/>
    <w:rsid w:val="69A478E2"/>
    <w:rsid w:val="69C67F39"/>
    <w:rsid w:val="69FD7E8D"/>
    <w:rsid w:val="6A1D32A3"/>
    <w:rsid w:val="6A2952E1"/>
    <w:rsid w:val="6A6E2A7C"/>
    <w:rsid w:val="6A717251"/>
    <w:rsid w:val="6A942536"/>
    <w:rsid w:val="6AC24262"/>
    <w:rsid w:val="6AFE9204"/>
    <w:rsid w:val="6B571287"/>
    <w:rsid w:val="6B6245CC"/>
    <w:rsid w:val="6B6C796A"/>
    <w:rsid w:val="6B983B26"/>
    <w:rsid w:val="6BDA55BC"/>
    <w:rsid w:val="6BF7147C"/>
    <w:rsid w:val="6C6F57E9"/>
    <w:rsid w:val="6D3471D6"/>
    <w:rsid w:val="6D4145CB"/>
    <w:rsid w:val="6D607AD0"/>
    <w:rsid w:val="6D657210"/>
    <w:rsid w:val="6D946FF7"/>
    <w:rsid w:val="6DB50D97"/>
    <w:rsid w:val="6DD264A5"/>
    <w:rsid w:val="6DD83BA5"/>
    <w:rsid w:val="6E174456"/>
    <w:rsid w:val="6E71262E"/>
    <w:rsid w:val="6EA62781"/>
    <w:rsid w:val="6EBB8654"/>
    <w:rsid w:val="6EBFD7A9"/>
    <w:rsid w:val="6EE80939"/>
    <w:rsid w:val="6EED750E"/>
    <w:rsid w:val="6F114D66"/>
    <w:rsid w:val="6F3C79DB"/>
    <w:rsid w:val="6F420339"/>
    <w:rsid w:val="6F976626"/>
    <w:rsid w:val="6FEA8363"/>
    <w:rsid w:val="6FEE0883"/>
    <w:rsid w:val="6FF66811"/>
    <w:rsid w:val="701A1D3B"/>
    <w:rsid w:val="7023645C"/>
    <w:rsid w:val="705A299B"/>
    <w:rsid w:val="708D4520"/>
    <w:rsid w:val="709C3C7C"/>
    <w:rsid w:val="70B71AF2"/>
    <w:rsid w:val="70F12A76"/>
    <w:rsid w:val="70F43BEA"/>
    <w:rsid w:val="710404AA"/>
    <w:rsid w:val="711F40F7"/>
    <w:rsid w:val="714B194C"/>
    <w:rsid w:val="714B3DD3"/>
    <w:rsid w:val="71540140"/>
    <w:rsid w:val="716E1F10"/>
    <w:rsid w:val="71793308"/>
    <w:rsid w:val="71F56C38"/>
    <w:rsid w:val="72292872"/>
    <w:rsid w:val="72305EA8"/>
    <w:rsid w:val="72351593"/>
    <w:rsid w:val="725E1525"/>
    <w:rsid w:val="7264002C"/>
    <w:rsid w:val="729E2412"/>
    <w:rsid w:val="72C4561F"/>
    <w:rsid w:val="730C3A86"/>
    <w:rsid w:val="730C47FB"/>
    <w:rsid w:val="731F51D0"/>
    <w:rsid w:val="73202FDF"/>
    <w:rsid w:val="7358020E"/>
    <w:rsid w:val="735F1798"/>
    <w:rsid w:val="7383670F"/>
    <w:rsid w:val="73850361"/>
    <w:rsid w:val="73C365DC"/>
    <w:rsid w:val="73D93BD5"/>
    <w:rsid w:val="73F671CA"/>
    <w:rsid w:val="74285101"/>
    <w:rsid w:val="743067A0"/>
    <w:rsid w:val="74362EBD"/>
    <w:rsid w:val="7440640A"/>
    <w:rsid w:val="74926FC4"/>
    <w:rsid w:val="74D5640F"/>
    <w:rsid w:val="74DF9EA9"/>
    <w:rsid w:val="74F843EB"/>
    <w:rsid w:val="75277B05"/>
    <w:rsid w:val="754F049B"/>
    <w:rsid w:val="758E6ABA"/>
    <w:rsid w:val="75F5768B"/>
    <w:rsid w:val="75FFC971"/>
    <w:rsid w:val="761AD824"/>
    <w:rsid w:val="7623078A"/>
    <w:rsid w:val="762B4001"/>
    <w:rsid w:val="764339AF"/>
    <w:rsid w:val="764F76B2"/>
    <w:rsid w:val="76676C0C"/>
    <w:rsid w:val="76DD4038"/>
    <w:rsid w:val="76E11DE0"/>
    <w:rsid w:val="76FE918B"/>
    <w:rsid w:val="770235E3"/>
    <w:rsid w:val="771B3833"/>
    <w:rsid w:val="774C7B69"/>
    <w:rsid w:val="7752532D"/>
    <w:rsid w:val="775F45FF"/>
    <w:rsid w:val="7794048C"/>
    <w:rsid w:val="779E6B7A"/>
    <w:rsid w:val="77BFCD6E"/>
    <w:rsid w:val="77D05B0B"/>
    <w:rsid w:val="77D92FBA"/>
    <w:rsid w:val="77DE7065"/>
    <w:rsid w:val="77F47FD6"/>
    <w:rsid w:val="781863B0"/>
    <w:rsid w:val="783F622C"/>
    <w:rsid w:val="78F22FF9"/>
    <w:rsid w:val="795D058A"/>
    <w:rsid w:val="7962639E"/>
    <w:rsid w:val="79825808"/>
    <w:rsid w:val="799800AD"/>
    <w:rsid w:val="79B732D5"/>
    <w:rsid w:val="79EC08F2"/>
    <w:rsid w:val="7A0075EB"/>
    <w:rsid w:val="7A0370A6"/>
    <w:rsid w:val="7A043DE2"/>
    <w:rsid w:val="7A0D6EA7"/>
    <w:rsid w:val="7A294815"/>
    <w:rsid w:val="7A5C0E88"/>
    <w:rsid w:val="7A5C11F9"/>
    <w:rsid w:val="7AAE12A2"/>
    <w:rsid w:val="7AB24CE0"/>
    <w:rsid w:val="7ABF04FA"/>
    <w:rsid w:val="7AF61FB9"/>
    <w:rsid w:val="7B63A711"/>
    <w:rsid w:val="7B7B1736"/>
    <w:rsid w:val="7B985747"/>
    <w:rsid w:val="7B9B5B06"/>
    <w:rsid w:val="7BB85B53"/>
    <w:rsid w:val="7BB86EDB"/>
    <w:rsid w:val="7CBB22CC"/>
    <w:rsid w:val="7CCE2829"/>
    <w:rsid w:val="7CD06AC2"/>
    <w:rsid w:val="7CE2128A"/>
    <w:rsid w:val="7D5B3B94"/>
    <w:rsid w:val="7D965AF2"/>
    <w:rsid w:val="7D9B146C"/>
    <w:rsid w:val="7DBD5762"/>
    <w:rsid w:val="7DD822E9"/>
    <w:rsid w:val="7E394488"/>
    <w:rsid w:val="7E4A57DA"/>
    <w:rsid w:val="7E910DEF"/>
    <w:rsid w:val="7EBC34E0"/>
    <w:rsid w:val="7EBE23CC"/>
    <w:rsid w:val="7ED03F87"/>
    <w:rsid w:val="7ED36824"/>
    <w:rsid w:val="7EF5BC52"/>
    <w:rsid w:val="7EFE8DD8"/>
    <w:rsid w:val="7F100D53"/>
    <w:rsid w:val="7F1079FD"/>
    <w:rsid w:val="7F212062"/>
    <w:rsid w:val="7F4FACE5"/>
    <w:rsid w:val="7F5B3670"/>
    <w:rsid w:val="7F5F9D25"/>
    <w:rsid w:val="7F7B2F5C"/>
    <w:rsid w:val="7F997928"/>
    <w:rsid w:val="7FBE929C"/>
    <w:rsid w:val="7FC83806"/>
    <w:rsid w:val="7FD87AE5"/>
    <w:rsid w:val="7FFE80F3"/>
    <w:rsid w:val="87FFF73C"/>
    <w:rsid w:val="8FBFD559"/>
    <w:rsid w:val="9FF11FD5"/>
    <w:rsid w:val="A3B2EA77"/>
    <w:rsid w:val="B5DE170A"/>
    <w:rsid w:val="BBDFF3DF"/>
    <w:rsid w:val="BEFF85D6"/>
    <w:rsid w:val="BEFFBFA8"/>
    <w:rsid w:val="BEFFE1B3"/>
    <w:rsid w:val="BF57978D"/>
    <w:rsid w:val="BFBA1EA5"/>
    <w:rsid w:val="BFDE65C7"/>
    <w:rsid w:val="BFF13A59"/>
    <w:rsid w:val="BFFAE1C6"/>
    <w:rsid w:val="CFFF3BEF"/>
    <w:rsid w:val="D367A75D"/>
    <w:rsid w:val="D7764372"/>
    <w:rsid w:val="D7CC3299"/>
    <w:rsid w:val="DEFEADDA"/>
    <w:rsid w:val="DFE63C85"/>
    <w:rsid w:val="DFFFBE06"/>
    <w:rsid w:val="E142A05C"/>
    <w:rsid w:val="E3BFEA9E"/>
    <w:rsid w:val="E7FF7361"/>
    <w:rsid w:val="EB4B9195"/>
    <w:rsid w:val="EBDE8FBA"/>
    <w:rsid w:val="EEFD8789"/>
    <w:rsid w:val="EF5FC75E"/>
    <w:rsid w:val="EF7BE084"/>
    <w:rsid w:val="EFFF41DF"/>
    <w:rsid w:val="F1BFF699"/>
    <w:rsid w:val="F2F9F170"/>
    <w:rsid w:val="F57FA624"/>
    <w:rsid w:val="F59F7B91"/>
    <w:rsid w:val="F6DA674B"/>
    <w:rsid w:val="F6FF544C"/>
    <w:rsid w:val="F73DA847"/>
    <w:rsid w:val="F7BF8929"/>
    <w:rsid w:val="F7DF8594"/>
    <w:rsid w:val="F7F78885"/>
    <w:rsid w:val="F7FC9398"/>
    <w:rsid w:val="F9F5FB8B"/>
    <w:rsid w:val="F9F722C4"/>
    <w:rsid w:val="F9FFD92F"/>
    <w:rsid w:val="FC6FF663"/>
    <w:rsid w:val="FEF73A92"/>
    <w:rsid w:val="FEFF65FD"/>
    <w:rsid w:val="FF3EA683"/>
    <w:rsid w:val="FF3F97CF"/>
    <w:rsid w:val="FF7F5AA6"/>
    <w:rsid w:val="FFAAF59B"/>
    <w:rsid w:val="FFBB52C7"/>
    <w:rsid w:val="FFD717CB"/>
    <w:rsid w:val="FFE544F7"/>
    <w:rsid w:val="FFEF6213"/>
    <w:rsid w:val="FFEFF750"/>
    <w:rsid w:val="FFF37BAE"/>
    <w:rsid w:val="FFFF51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883" w:firstLineChars="200"/>
    </w:pPr>
    <w:rPr>
      <w:rFonts w:ascii="Times New Roman" w:hAnsi="Times New Roman" w:eastAsia="仿宋_GB2312" w:cstheme="minorBidi"/>
      <w:kern w:val="2"/>
      <w:sz w:val="32"/>
      <w:szCs w:val="24"/>
      <w:lang w:val="en-US" w:eastAsia="zh-CN" w:bidi="ar-SA"/>
    </w:rPr>
  </w:style>
  <w:style w:type="paragraph" w:styleId="3">
    <w:name w:val="heading 1"/>
    <w:basedOn w:val="1"/>
    <w:next w:val="1"/>
    <w:link w:val="43"/>
    <w:qFormat/>
    <w:uiPriority w:val="0"/>
    <w:pPr>
      <w:widowControl/>
      <w:numPr>
        <w:ilvl w:val="0"/>
        <w:numId w:val="1"/>
      </w:numPr>
      <w:tabs>
        <w:tab w:val="left" w:pos="0"/>
      </w:tabs>
      <w:spacing w:beforeAutospacing="1" w:afterAutospacing="1"/>
      <w:ind w:firstLine="1041"/>
      <w:outlineLvl w:val="0"/>
    </w:pPr>
    <w:rPr>
      <w:rFonts w:ascii="宋体" w:hAnsi="宋体" w:eastAsia="黑体" w:cs="宋体"/>
      <w:b/>
      <w:bCs/>
      <w:kern w:val="36"/>
      <w:sz w:val="36"/>
      <w:szCs w:val="48"/>
    </w:rPr>
  </w:style>
  <w:style w:type="paragraph" w:styleId="4">
    <w:name w:val="heading 2"/>
    <w:basedOn w:val="1"/>
    <w:next w:val="1"/>
    <w:link w:val="50"/>
    <w:unhideWhenUsed/>
    <w:qFormat/>
    <w:uiPriority w:val="0"/>
    <w:pPr>
      <w:numPr>
        <w:ilvl w:val="0"/>
        <w:numId w:val="2"/>
      </w:numPr>
      <w:spacing w:before="50" w:beforeLines="50" w:after="50" w:afterLines="50"/>
      <w:ind w:firstLine="880"/>
      <w:outlineLvl w:val="1"/>
    </w:pPr>
    <w:rPr>
      <w:rFonts w:eastAsia="楷体"/>
      <w:b/>
    </w:rPr>
  </w:style>
  <w:style w:type="paragraph" w:styleId="5">
    <w:name w:val="heading 3"/>
    <w:basedOn w:val="1"/>
    <w:next w:val="1"/>
    <w:link w:val="44"/>
    <w:unhideWhenUsed/>
    <w:qFormat/>
    <w:uiPriority w:val="0"/>
    <w:pPr>
      <w:numPr>
        <w:ilvl w:val="0"/>
        <w:numId w:val="3"/>
      </w:numPr>
      <w:ind w:firstLine="1041"/>
      <w:outlineLvl w:val="2"/>
    </w:pPr>
    <w:rPr>
      <w:b/>
      <w:bCs/>
      <w:szCs w:val="32"/>
    </w:rPr>
  </w:style>
  <w:style w:type="paragraph" w:styleId="6">
    <w:name w:val="heading 4"/>
    <w:basedOn w:val="1"/>
    <w:next w:val="1"/>
    <w:link w:val="45"/>
    <w:unhideWhenUsed/>
    <w:qFormat/>
    <w:uiPriority w:val="0"/>
    <w:pPr>
      <w:numPr>
        <w:ilvl w:val="0"/>
        <w:numId w:val="4"/>
      </w:numPr>
      <w:ind w:firstLine="1041"/>
      <w:outlineLvl w:val="3"/>
    </w:pPr>
    <w:rPr>
      <w:b/>
    </w:rPr>
  </w:style>
  <w:style w:type="paragraph" w:styleId="7">
    <w:name w:val="heading 5"/>
    <w:basedOn w:val="1"/>
    <w:next w:val="1"/>
    <w:unhideWhenUsed/>
    <w:qFormat/>
    <w:uiPriority w:val="0"/>
    <w:pPr>
      <w:numPr>
        <w:ilvl w:val="0"/>
        <w:numId w:val="5"/>
      </w:numPr>
      <w:spacing w:line="560" w:lineRule="exact"/>
      <w:ind w:firstLine="1121"/>
      <w:outlineLvl w:val="4"/>
    </w:p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 w:type="paragraph" w:styleId="8">
    <w:name w:val="annotation text"/>
    <w:basedOn w:val="1"/>
    <w:qFormat/>
    <w:uiPriority w:val="0"/>
  </w:style>
  <w:style w:type="paragraph" w:styleId="9">
    <w:name w:val="Body Text"/>
    <w:basedOn w:val="1"/>
    <w:qFormat/>
    <w:uiPriority w:val="0"/>
    <w:pPr>
      <w:spacing w:after="120"/>
    </w:pPr>
  </w:style>
  <w:style w:type="paragraph" w:styleId="10">
    <w:name w:val="toc 3"/>
    <w:next w:val="1"/>
    <w:qFormat/>
    <w:uiPriority w:val="0"/>
    <w:pPr>
      <w:ind w:left="800" w:leftChars="250"/>
    </w:pPr>
    <w:rPr>
      <w:rFonts w:ascii="Times New Roman" w:hAnsi="Times New Roman" w:eastAsia="仿宋_GB2312" w:cs="Times New Roman"/>
      <w:sz w:val="32"/>
      <w:lang w:val="en-US" w:eastAsia="zh-CN" w:bidi="ar-SA"/>
    </w:rPr>
  </w:style>
  <w:style w:type="paragraph" w:styleId="11">
    <w:name w:val="Balloon Text"/>
    <w:basedOn w:val="1"/>
    <w:link w:val="64"/>
    <w:qFormat/>
    <w:uiPriority w:val="0"/>
    <w:pPr>
      <w:spacing w:line="240" w:lineRule="auto"/>
    </w:pPr>
    <w:rPr>
      <w:sz w:val="18"/>
      <w:szCs w:val="18"/>
    </w:rPr>
  </w:style>
  <w:style w:type="paragraph" w:styleId="12">
    <w:name w:val="footer"/>
    <w:basedOn w:val="1"/>
    <w:link w:val="49"/>
    <w:qFormat/>
    <w:uiPriority w:val="99"/>
    <w:pPr>
      <w:tabs>
        <w:tab w:val="center" w:pos="4153"/>
        <w:tab w:val="right" w:pos="8306"/>
      </w:tabs>
      <w:snapToGrid w:val="0"/>
      <w:spacing w:line="240" w:lineRule="atLeast"/>
    </w:pPr>
    <w:rPr>
      <w:sz w:val="18"/>
      <w:szCs w:val="18"/>
    </w:rPr>
  </w:style>
  <w:style w:type="paragraph" w:styleId="13">
    <w:name w:val="header"/>
    <w:basedOn w:val="1"/>
    <w:link w:val="48"/>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4">
    <w:name w:val="toc 1"/>
    <w:basedOn w:val="1"/>
    <w:next w:val="1"/>
    <w:qFormat/>
    <w:uiPriority w:val="0"/>
    <w:pPr>
      <w:ind w:firstLine="0" w:firstLineChars="0"/>
    </w:pPr>
    <w:rPr>
      <w:rFonts w:eastAsia="黑体"/>
    </w:rPr>
  </w:style>
  <w:style w:type="paragraph" w:styleId="15">
    <w:name w:val="table of figures"/>
    <w:basedOn w:val="1"/>
    <w:next w:val="1"/>
    <w:qFormat/>
    <w:uiPriority w:val="0"/>
    <w:pPr>
      <w:ind w:left="200" w:leftChars="200" w:hanging="200" w:hangingChars="200"/>
    </w:pPr>
  </w:style>
  <w:style w:type="paragraph" w:styleId="16">
    <w:name w:val="toc 2"/>
    <w:basedOn w:val="1"/>
    <w:next w:val="1"/>
    <w:qFormat/>
    <w:uiPriority w:val="0"/>
    <w:pPr>
      <w:ind w:left="320" w:leftChars="100" w:firstLine="0" w:firstLineChars="0"/>
    </w:pPr>
    <w:rPr>
      <w:rFonts w:eastAsia="楷体"/>
    </w:rPr>
  </w:style>
  <w:style w:type="paragraph" w:styleId="17">
    <w:name w:val="Normal (Web)"/>
    <w:basedOn w:val="1"/>
    <w:qFormat/>
    <w:uiPriority w:val="0"/>
    <w:pPr>
      <w:widowControl/>
      <w:spacing w:beforeAutospacing="1" w:afterAutospacing="1" w:line="240" w:lineRule="auto"/>
      <w:ind w:firstLine="0" w:firstLineChars="0"/>
    </w:pPr>
    <w:rPr>
      <w:rFonts w:hint="eastAsia" w:ascii="宋体" w:hAnsi="宋体" w:eastAsia="宋体" w:cs="Times New Roman"/>
      <w:kern w:val="0"/>
      <w:sz w:val="24"/>
    </w:rPr>
  </w:style>
  <w:style w:type="paragraph" w:styleId="18">
    <w:name w:val="Title"/>
    <w:basedOn w:val="1"/>
    <w:qFormat/>
    <w:uiPriority w:val="0"/>
    <w:pPr>
      <w:spacing w:before="240" w:after="60"/>
      <w:jc w:val="center"/>
      <w:outlineLvl w:val="0"/>
    </w:pPr>
    <w:rPr>
      <w:rFonts w:ascii="Arial" w:hAnsi="Arial"/>
      <w:b/>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0"/>
    <w:rPr>
      <w:b/>
    </w:rPr>
  </w:style>
  <w:style w:type="character" w:styleId="23">
    <w:name w:val="page number"/>
    <w:basedOn w:val="21"/>
    <w:qFormat/>
    <w:uiPriority w:val="0"/>
  </w:style>
  <w:style w:type="character" w:styleId="24">
    <w:name w:val="FollowedHyperlink"/>
    <w:basedOn w:val="21"/>
    <w:qFormat/>
    <w:uiPriority w:val="0"/>
    <w:rPr>
      <w:color w:val="333333"/>
      <w:sz w:val="21"/>
      <w:szCs w:val="21"/>
      <w:u w:val="none"/>
    </w:rPr>
  </w:style>
  <w:style w:type="character" w:styleId="25">
    <w:name w:val="Emphasis"/>
    <w:basedOn w:val="21"/>
    <w:qFormat/>
    <w:uiPriority w:val="0"/>
    <w:rPr>
      <w:i/>
    </w:rPr>
  </w:style>
  <w:style w:type="character" w:styleId="26">
    <w:name w:val="Hyperlink"/>
    <w:basedOn w:val="21"/>
    <w:qFormat/>
    <w:uiPriority w:val="0"/>
    <w:rPr>
      <w:color w:val="333333"/>
      <w:sz w:val="21"/>
      <w:szCs w:val="21"/>
      <w:u w:val="none"/>
    </w:rPr>
  </w:style>
  <w:style w:type="character" w:styleId="27">
    <w:name w:val="HTML Code"/>
    <w:basedOn w:val="21"/>
    <w:qFormat/>
    <w:uiPriority w:val="0"/>
    <w:rPr>
      <w:rFonts w:ascii="Consolas" w:hAnsi="Consolas" w:eastAsia="Consolas" w:cs="Consolas"/>
      <w:color w:val="C7254E"/>
      <w:sz w:val="21"/>
      <w:szCs w:val="21"/>
      <w:shd w:val="clear" w:color="auto" w:fill="F9F2F4"/>
    </w:rPr>
  </w:style>
  <w:style w:type="character" w:styleId="28">
    <w:name w:val="HTML Keyboard"/>
    <w:basedOn w:val="21"/>
    <w:qFormat/>
    <w:uiPriority w:val="0"/>
    <w:rPr>
      <w:rFonts w:hint="default" w:ascii="Consolas" w:hAnsi="Consolas" w:eastAsia="Consolas" w:cs="Consolas"/>
      <w:color w:val="FFFFFF"/>
      <w:sz w:val="21"/>
      <w:szCs w:val="21"/>
      <w:shd w:val="clear" w:color="auto" w:fill="333333"/>
    </w:rPr>
  </w:style>
  <w:style w:type="character" w:styleId="29">
    <w:name w:val="HTML Sample"/>
    <w:basedOn w:val="21"/>
    <w:qFormat/>
    <w:uiPriority w:val="0"/>
    <w:rPr>
      <w:rFonts w:hint="default" w:ascii="Consolas" w:hAnsi="Consolas" w:eastAsia="Consolas" w:cs="Consolas"/>
    </w:rPr>
  </w:style>
  <w:style w:type="paragraph" w:customStyle="1" w:styleId="30">
    <w:name w:val="正文2"/>
    <w:basedOn w:val="31"/>
    <w:next w:val="1"/>
    <w:qFormat/>
    <w:uiPriority w:val="0"/>
    <w:pPr>
      <w:jc w:val="both"/>
    </w:pPr>
    <w:rPr>
      <w:rFonts w:hint="eastAsia" w:ascii="等线" w:hAnsi="等线" w:cs="Times New Roman"/>
      <w:szCs w:val="20"/>
    </w:rPr>
  </w:style>
  <w:style w:type="paragraph" w:customStyle="1" w:styleId="31">
    <w:name w:val="正文1"/>
    <w:next w:val="3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2">
    <w:name w:val="正文首行缩进 21"/>
    <w:basedOn w:val="33"/>
    <w:qFormat/>
    <w:uiPriority w:val="0"/>
    <w:pPr>
      <w:ind w:firstLine="420"/>
    </w:pPr>
    <w:rPr>
      <w:rFonts w:ascii="Times New Roman" w:hAnsi="Times New Roman" w:eastAsia="宋体" w:cs="Times New Roman"/>
    </w:rPr>
  </w:style>
  <w:style w:type="paragraph" w:customStyle="1" w:styleId="33">
    <w:name w:val="正文缩进1"/>
    <w:basedOn w:val="31"/>
    <w:qFormat/>
    <w:uiPriority w:val="0"/>
    <w:pPr>
      <w:ind w:left="420"/>
    </w:pPr>
    <w:rPr>
      <w:rFonts w:ascii="Times New Roman" w:hAnsi="Times New Roman" w:eastAsia="宋体" w:cs="Times New Roman"/>
    </w:rPr>
  </w:style>
  <w:style w:type="paragraph" w:customStyle="1" w:styleId="34">
    <w:name w:val="表格"/>
    <w:basedOn w:val="9"/>
    <w:qFormat/>
    <w:uiPriority w:val="0"/>
    <w:pPr>
      <w:numPr>
        <w:ilvl w:val="0"/>
        <w:numId w:val="6"/>
      </w:numPr>
      <w:jc w:val="center"/>
    </w:pPr>
    <w:rPr>
      <w:rFonts w:eastAsia="楷体"/>
      <w:b/>
      <w:sz w:val="21"/>
    </w:rPr>
  </w:style>
  <w:style w:type="paragraph" w:customStyle="1" w:styleId="35">
    <w:name w:val="表格标题"/>
    <w:basedOn w:val="9"/>
    <w:next w:val="9"/>
    <w:qFormat/>
    <w:uiPriority w:val="0"/>
    <w:pPr>
      <w:numPr>
        <w:ilvl w:val="0"/>
        <w:numId w:val="7"/>
      </w:numPr>
      <w:tabs>
        <w:tab w:val="left" w:pos="360"/>
        <w:tab w:val="left" w:pos="420"/>
      </w:tabs>
      <w:spacing w:before="50" w:beforeLines="50" w:line="240" w:lineRule="auto"/>
      <w:ind w:left="0" w:firstLine="0" w:firstLineChars="0"/>
      <w:jc w:val="center"/>
    </w:pPr>
    <w:rPr>
      <w:rFonts w:eastAsia="楷体"/>
      <w:b/>
      <w:sz w:val="21"/>
    </w:rPr>
  </w:style>
  <w:style w:type="paragraph" w:customStyle="1" w:styleId="36">
    <w:name w:val="表格正文"/>
    <w:basedOn w:val="1"/>
    <w:qFormat/>
    <w:uiPriority w:val="0"/>
    <w:pPr>
      <w:spacing w:line="240" w:lineRule="auto"/>
      <w:ind w:firstLine="0" w:firstLineChars="0"/>
      <w:jc w:val="center"/>
    </w:pPr>
    <w:rPr>
      <w:rFonts w:eastAsia="楷体"/>
      <w:sz w:val="18"/>
    </w:rPr>
  </w:style>
  <w:style w:type="paragraph" w:customStyle="1" w:styleId="37">
    <w:name w:val="图例"/>
    <w:basedOn w:val="15"/>
    <w:next w:val="1"/>
    <w:qFormat/>
    <w:uiPriority w:val="0"/>
    <w:pPr>
      <w:numPr>
        <w:ilvl w:val="0"/>
        <w:numId w:val="8"/>
      </w:numPr>
      <w:tabs>
        <w:tab w:val="left" w:pos="0"/>
        <w:tab w:val="clear" w:pos="420"/>
      </w:tabs>
      <w:spacing w:after="50" w:afterLines="50" w:line="240" w:lineRule="auto"/>
      <w:ind w:leftChars="0" w:firstLineChars="0"/>
      <w:jc w:val="center"/>
    </w:pPr>
    <w:rPr>
      <w:rFonts w:eastAsia="楷体"/>
      <w:b/>
      <w:sz w:val="18"/>
    </w:rPr>
  </w:style>
  <w:style w:type="paragraph" w:customStyle="1" w:styleId="38">
    <w:name w:val="表格标题2"/>
    <w:basedOn w:val="35"/>
    <w:qFormat/>
    <w:uiPriority w:val="0"/>
    <w:pPr>
      <w:numPr>
        <w:ilvl w:val="0"/>
        <w:numId w:val="9"/>
      </w:numPr>
      <w:tabs>
        <w:tab w:val="clear" w:pos="360"/>
      </w:tabs>
    </w:pPr>
    <w:rPr>
      <w:sz w:val="18"/>
    </w:rPr>
  </w:style>
  <w:style w:type="paragraph" w:customStyle="1" w:styleId="39">
    <w:name w:val="表格标题3"/>
    <w:basedOn w:val="1"/>
    <w:next w:val="34"/>
    <w:qFormat/>
    <w:uiPriority w:val="0"/>
    <w:pPr>
      <w:numPr>
        <w:ilvl w:val="0"/>
        <w:numId w:val="10"/>
      </w:numPr>
      <w:ind w:firstLineChars="0"/>
      <w:jc w:val="center"/>
    </w:pPr>
    <w:rPr>
      <w:rFonts w:eastAsia="楷体"/>
      <w:b/>
      <w:sz w:val="21"/>
    </w:rPr>
  </w:style>
  <w:style w:type="paragraph" w:customStyle="1" w:styleId="40">
    <w:name w:val="第五章表格标题"/>
    <w:basedOn w:val="36"/>
    <w:next w:val="1"/>
    <w:qFormat/>
    <w:uiPriority w:val="0"/>
    <w:pPr>
      <w:numPr>
        <w:ilvl w:val="0"/>
        <w:numId w:val="11"/>
      </w:numPr>
    </w:pPr>
    <w:rPr>
      <w:b/>
      <w:sz w:val="21"/>
    </w:rPr>
  </w:style>
  <w:style w:type="paragraph" w:customStyle="1" w:styleId="41">
    <w:name w:val="表格标题6"/>
    <w:basedOn w:val="40"/>
    <w:next w:val="1"/>
    <w:qFormat/>
    <w:uiPriority w:val="0"/>
    <w:pPr>
      <w:numPr>
        <w:ilvl w:val="0"/>
        <w:numId w:val="12"/>
      </w:numPr>
    </w:pPr>
  </w:style>
  <w:style w:type="paragraph" w:customStyle="1" w:styleId="42">
    <w:name w:val="表格标题7"/>
    <w:basedOn w:val="41"/>
    <w:next w:val="1"/>
    <w:qFormat/>
    <w:uiPriority w:val="0"/>
    <w:pPr>
      <w:numPr>
        <w:numId w:val="13"/>
      </w:numPr>
    </w:pPr>
  </w:style>
  <w:style w:type="character" w:customStyle="1" w:styleId="43">
    <w:name w:val="标题 1 Char"/>
    <w:basedOn w:val="21"/>
    <w:link w:val="3"/>
    <w:qFormat/>
    <w:uiPriority w:val="9"/>
    <w:rPr>
      <w:rFonts w:ascii="宋体" w:hAnsi="宋体" w:eastAsia="黑体" w:cs="宋体"/>
      <w:b/>
      <w:bCs/>
      <w:kern w:val="36"/>
      <w:sz w:val="36"/>
      <w:szCs w:val="48"/>
    </w:rPr>
  </w:style>
  <w:style w:type="character" w:customStyle="1" w:styleId="44">
    <w:name w:val="标题 3 Char"/>
    <w:basedOn w:val="21"/>
    <w:link w:val="5"/>
    <w:semiHidden/>
    <w:qFormat/>
    <w:uiPriority w:val="9"/>
    <w:rPr>
      <w:rFonts w:ascii="Times New Roman" w:hAnsi="Times New Roman" w:eastAsia="仿宋_GB2312"/>
      <w:b/>
      <w:bCs/>
      <w:sz w:val="32"/>
      <w:szCs w:val="32"/>
    </w:rPr>
  </w:style>
  <w:style w:type="character" w:customStyle="1" w:styleId="45">
    <w:name w:val="标题 4 Char"/>
    <w:basedOn w:val="21"/>
    <w:link w:val="6"/>
    <w:semiHidden/>
    <w:qFormat/>
    <w:uiPriority w:val="9"/>
    <w:rPr>
      <w:rFonts w:ascii="Times New Roman" w:hAnsi="Times New Roman" w:eastAsia="仿宋_GB2312" w:cstheme="majorBidi"/>
      <w:b/>
      <w:bCs/>
      <w:sz w:val="32"/>
      <w:szCs w:val="28"/>
    </w:rPr>
  </w:style>
  <w:style w:type="character" w:customStyle="1" w:styleId="46">
    <w:name w:val="font61"/>
    <w:basedOn w:val="21"/>
    <w:qFormat/>
    <w:uiPriority w:val="0"/>
    <w:rPr>
      <w:rFonts w:ascii="黑体" w:hAnsi="宋体" w:eastAsia="黑体" w:cs="黑体"/>
      <w:b/>
      <w:color w:val="000000"/>
      <w:sz w:val="22"/>
      <w:szCs w:val="22"/>
      <w:u w:val="none"/>
    </w:rPr>
  </w:style>
  <w:style w:type="character" w:customStyle="1" w:styleId="47">
    <w:name w:val="font81"/>
    <w:basedOn w:val="21"/>
    <w:qFormat/>
    <w:uiPriority w:val="0"/>
    <w:rPr>
      <w:rFonts w:hint="eastAsia" w:ascii="黑体" w:hAnsi="宋体" w:eastAsia="黑体" w:cs="黑体"/>
      <w:b/>
      <w:color w:val="000000"/>
      <w:sz w:val="21"/>
      <w:szCs w:val="21"/>
      <w:u w:val="none"/>
    </w:rPr>
  </w:style>
  <w:style w:type="character" w:customStyle="1" w:styleId="48">
    <w:name w:val="页眉 Char"/>
    <w:basedOn w:val="21"/>
    <w:link w:val="13"/>
    <w:qFormat/>
    <w:uiPriority w:val="0"/>
    <w:rPr>
      <w:rFonts w:eastAsia="仿宋_GB2312" w:cstheme="minorBidi"/>
      <w:kern w:val="2"/>
      <w:sz w:val="18"/>
      <w:szCs w:val="18"/>
    </w:rPr>
  </w:style>
  <w:style w:type="character" w:customStyle="1" w:styleId="49">
    <w:name w:val="页脚 Char"/>
    <w:basedOn w:val="21"/>
    <w:link w:val="12"/>
    <w:qFormat/>
    <w:uiPriority w:val="99"/>
    <w:rPr>
      <w:rFonts w:eastAsia="仿宋_GB2312" w:cstheme="minorBidi"/>
      <w:kern w:val="2"/>
      <w:sz w:val="18"/>
      <w:szCs w:val="18"/>
    </w:rPr>
  </w:style>
  <w:style w:type="character" w:customStyle="1" w:styleId="50">
    <w:name w:val="标题 2 Char"/>
    <w:basedOn w:val="21"/>
    <w:link w:val="4"/>
    <w:qFormat/>
    <w:uiPriority w:val="0"/>
    <w:rPr>
      <w:rFonts w:hint="eastAsia" w:ascii="Times New Roman" w:hAnsi="Times New Roman" w:eastAsia="楷体" w:cs="Times New Roman"/>
      <w:b/>
      <w:kern w:val="2"/>
      <w:sz w:val="32"/>
      <w:szCs w:val="32"/>
    </w:rPr>
  </w:style>
  <w:style w:type="paragraph" w:customStyle="1" w:styleId="51">
    <w:name w:val="表格内容"/>
    <w:basedOn w:val="1"/>
    <w:next w:val="1"/>
    <w:qFormat/>
    <w:uiPriority w:val="0"/>
    <w:pPr>
      <w:widowControl/>
      <w:adjustRightInd w:val="0"/>
      <w:snapToGrid w:val="0"/>
      <w:spacing w:line="240" w:lineRule="auto"/>
      <w:ind w:firstLine="0" w:firstLineChars="0"/>
      <w:jc w:val="center"/>
    </w:pPr>
    <w:rPr>
      <w:rFonts w:eastAsia="楷体" w:cs="Times New Roman"/>
      <w:kern w:val="0"/>
      <w:sz w:val="21"/>
      <w:szCs w:val="20"/>
    </w:rPr>
  </w:style>
  <w:style w:type="character" w:customStyle="1" w:styleId="52">
    <w:name w:val="hover35"/>
    <w:basedOn w:val="21"/>
    <w:qFormat/>
    <w:uiPriority w:val="0"/>
    <w:rPr>
      <w:color w:val="FFFFFF"/>
      <w:shd w:val="clear" w:color="auto" w:fill="FFA800"/>
    </w:rPr>
  </w:style>
  <w:style w:type="character" w:customStyle="1" w:styleId="53">
    <w:name w:val="hover36"/>
    <w:basedOn w:val="21"/>
    <w:qFormat/>
    <w:uiPriority w:val="0"/>
    <w:rPr>
      <w:color w:val="999999"/>
      <w:bdr w:val="single" w:color="CCCCCC" w:sz="6" w:space="0"/>
      <w:shd w:val="clear" w:color="auto" w:fill="FFFFFF"/>
    </w:rPr>
  </w:style>
  <w:style w:type="character" w:customStyle="1" w:styleId="54">
    <w:name w:val="hover37"/>
    <w:basedOn w:val="21"/>
    <w:qFormat/>
    <w:uiPriority w:val="0"/>
    <w:rPr>
      <w:color w:val="999999"/>
      <w:bdr w:val="single" w:color="CCCCCC" w:sz="6" w:space="0"/>
      <w:shd w:val="clear" w:color="auto" w:fill="FFFFFF"/>
    </w:rPr>
  </w:style>
  <w:style w:type="character" w:customStyle="1" w:styleId="55">
    <w:name w:val="last-child1"/>
    <w:basedOn w:val="21"/>
    <w:qFormat/>
    <w:uiPriority w:val="0"/>
  </w:style>
  <w:style w:type="character" w:customStyle="1" w:styleId="56">
    <w:name w:val="last-child2"/>
    <w:basedOn w:val="21"/>
    <w:qFormat/>
    <w:uiPriority w:val="0"/>
  </w:style>
  <w:style w:type="character" w:customStyle="1" w:styleId="57">
    <w:name w:val="font11"/>
    <w:basedOn w:val="21"/>
    <w:qFormat/>
    <w:uiPriority w:val="0"/>
    <w:rPr>
      <w:rFonts w:hint="eastAsia" w:ascii="等线" w:hAnsi="等线" w:eastAsia="等线" w:cs="等线"/>
      <w:b/>
      <w:color w:val="000000"/>
      <w:sz w:val="22"/>
      <w:szCs w:val="22"/>
      <w:u w:val="none"/>
    </w:rPr>
  </w:style>
  <w:style w:type="character" w:customStyle="1" w:styleId="58">
    <w:name w:val="font51"/>
    <w:basedOn w:val="21"/>
    <w:qFormat/>
    <w:uiPriority w:val="0"/>
    <w:rPr>
      <w:rFonts w:hint="eastAsia" w:ascii="宋体" w:hAnsi="宋体" w:eastAsia="宋体" w:cs="宋体"/>
      <w:color w:val="000000"/>
      <w:sz w:val="24"/>
      <w:szCs w:val="24"/>
      <w:u w:val="none"/>
    </w:rPr>
  </w:style>
  <w:style w:type="character" w:customStyle="1" w:styleId="59">
    <w:name w:val="font41"/>
    <w:basedOn w:val="21"/>
    <w:qFormat/>
    <w:uiPriority w:val="0"/>
    <w:rPr>
      <w:rFonts w:hint="default" w:ascii="Times New Roman" w:hAnsi="Times New Roman" w:cs="Times New Roman"/>
      <w:color w:val="000000"/>
      <w:sz w:val="24"/>
      <w:szCs w:val="24"/>
      <w:u w:val="none"/>
    </w:rPr>
  </w:style>
  <w:style w:type="character" w:customStyle="1" w:styleId="60">
    <w:name w:val="NormalCharacter"/>
    <w:qFormat/>
    <w:uiPriority w:val="99"/>
  </w:style>
  <w:style w:type="character" w:customStyle="1" w:styleId="61">
    <w:name w:val="font31"/>
    <w:basedOn w:val="21"/>
    <w:qFormat/>
    <w:uiPriority w:val="0"/>
    <w:rPr>
      <w:rFonts w:hint="eastAsia" w:ascii="宋体" w:hAnsi="宋体" w:eastAsia="宋体" w:cs="宋体"/>
      <w:color w:val="000000"/>
      <w:sz w:val="24"/>
      <w:szCs w:val="24"/>
      <w:u w:val="none"/>
    </w:rPr>
  </w:style>
  <w:style w:type="character" w:customStyle="1" w:styleId="62">
    <w:name w:val="10"/>
    <w:basedOn w:val="21"/>
    <w:qFormat/>
    <w:uiPriority w:val="0"/>
    <w:rPr>
      <w:rFonts w:hint="default" w:ascii="仿宋_GB2312" w:eastAsia="仿宋_GB2312" w:cs="仿宋_GB2312"/>
    </w:rPr>
  </w:style>
  <w:style w:type="character" w:customStyle="1" w:styleId="63">
    <w:name w:val="15"/>
    <w:basedOn w:val="21"/>
    <w:qFormat/>
    <w:uiPriority w:val="0"/>
    <w:rPr>
      <w:rFonts w:hint="default" w:ascii="仿宋_GB2312" w:eastAsia="仿宋_GB2312" w:cs="仿宋_GB2312"/>
    </w:rPr>
  </w:style>
  <w:style w:type="character" w:customStyle="1" w:styleId="64">
    <w:name w:val="批注框文本 Char"/>
    <w:basedOn w:val="21"/>
    <w:link w:val="11"/>
    <w:qFormat/>
    <w:uiPriority w:val="0"/>
    <w:rPr>
      <w:rFonts w:eastAsia="仿宋_GB2312"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gICAiRmlsZUlkIiA6ICI5NjcxODg4MjM1NyIsCiAgICJHcm91cElkIiA6ICIxMjI2MTQ1ODg5IiwKICAgIkltYWdlIiA6ICJpVkJPUncwS0dnb0FBQUFOU1VoRVVnQUFBcUFBQUFIa0NBWUFBQURoSFowaUFBQUFDWEJJV1hNQUFBc1RBQUFMRXdFQW1wd1lBQUFnQUVsRVFWUjRuT3pkZDNSVTFjTEc0ZC9VTkJJU1NrSUxKU0FkaE5CN1I4U0dDSWdnUmVuWUFMbFlQa1FVQVJXd0lJcm9wVndVc0lBaUtDZ2lWWkNhaVBUZVcwZ2p2YzU4Znd3WkdGSW82aVRvKzZ6bE1uUE9QdnZzU1NGdmRqc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90</Pages>
  <Words>47000</Words>
  <Characters>49141</Characters>
  <Lines>376</Lines>
  <Paragraphs>105</Paragraphs>
  <TotalTime>2</TotalTime>
  <ScaleCrop>false</ScaleCrop>
  <LinksUpToDate>false</LinksUpToDate>
  <CharactersWithSpaces>49437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2020-11-04T00:17:00Z</dcterms:created>
  <dc:creator>芥艾恩季</dc:creator>
  <cp:lastModifiedBy>user</cp:lastModifiedBy>
  <cp:lastPrinted>2022-08-09T09:14:00Z</cp:lastPrinted>
  <dcterms:modified xsi:type="dcterms:W3CDTF">2023-11-30T10:31:50Z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KSOSaveFontToCloudKey">
    <vt:lpwstr>426131401_btnclosed</vt:lpwstr>
  </property>
  <property fmtid="{D5CDD505-2E9C-101B-9397-08002B2CF9AE}" pid="4" name="ICV">
    <vt:lpwstr>9A1F1F9F9AF748C4A1B27D9AE6A56E00</vt:lpwstr>
  </property>
</Properties>
</file>