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_GBK" w:cs="Times New Roman"/>
          <w:color w:val="auto"/>
          <w:sz w:val="44"/>
          <w:szCs w:val="44"/>
          <w:highlight w:val="none"/>
        </w:rPr>
      </w:pPr>
      <w:bookmarkStart w:id="533" w:name="_GoBack"/>
      <w:bookmarkEnd w:id="533"/>
    </w:p>
    <w:p>
      <w:pPr>
        <w:spacing w:line="560" w:lineRule="exact"/>
        <w:jc w:val="center"/>
        <w:rPr>
          <w:rFonts w:ascii="Times New Roman" w:hAnsi="Times New Roman" w:eastAsia="方正小标宋_GBK" w:cs="Times New Roman"/>
          <w:color w:val="auto"/>
          <w:sz w:val="44"/>
          <w:szCs w:val="44"/>
          <w:highlight w:val="none"/>
        </w:rPr>
      </w:pPr>
      <w:r>
        <w:rPr>
          <w:rFonts w:ascii="Times New Roman" w:hAnsi="Times New Roman" w:eastAsia="方正小标宋_GBK" w:cs="Times New Roman"/>
          <w:color w:val="auto"/>
          <w:sz w:val="44"/>
          <w:szCs w:val="44"/>
          <w:highlight w:val="none"/>
        </w:rPr>
        <w:t xml:space="preserve"> </w:t>
      </w:r>
    </w:p>
    <w:p>
      <w:pPr>
        <w:spacing w:line="560" w:lineRule="exact"/>
        <w:jc w:val="center"/>
        <w:rPr>
          <w:rFonts w:ascii="Times New Roman" w:hAnsi="Times New Roman" w:eastAsia="方正小标宋_GBK" w:cs="Times New Roman"/>
          <w:color w:val="auto"/>
          <w:sz w:val="44"/>
          <w:szCs w:val="44"/>
          <w:highlight w:val="none"/>
        </w:rPr>
      </w:pPr>
    </w:p>
    <w:p>
      <w:pPr>
        <w:spacing w:line="560" w:lineRule="exact"/>
        <w:jc w:val="center"/>
        <w:rPr>
          <w:rFonts w:ascii="Times New Roman" w:hAnsi="Times New Roman" w:eastAsia="方正小标宋_GBK" w:cs="Times New Roman"/>
          <w:color w:val="auto"/>
          <w:sz w:val="44"/>
          <w:szCs w:val="44"/>
          <w:highlight w:val="none"/>
        </w:rPr>
      </w:pPr>
    </w:p>
    <w:p>
      <w:pPr>
        <w:jc w:val="center"/>
        <w:rPr>
          <w:rFonts w:ascii="Times New Roman" w:hAnsi="Times New Roman" w:eastAsia="方正小标宋_GBK" w:cs="Times New Roman"/>
          <w:b/>
          <w:bCs/>
          <w:color w:val="auto"/>
          <w:sz w:val="44"/>
          <w:szCs w:val="44"/>
          <w:highlight w:val="none"/>
        </w:rPr>
      </w:pPr>
      <w:r>
        <w:rPr>
          <w:rFonts w:ascii="Times New Roman" w:hAnsi="Times New Roman" w:eastAsia="方正小标宋_GBK" w:cs="Times New Roman"/>
          <w:b/>
          <w:bCs/>
          <w:color w:val="auto"/>
          <w:sz w:val="44"/>
          <w:szCs w:val="44"/>
          <w:highlight w:val="none"/>
        </w:rPr>
        <w:t>荥经县“十四五”推进农业农村现代化规划</w:t>
      </w:r>
    </w:p>
    <w:p>
      <w:pPr>
        <w:spacing w:line="560" w:lineRule="exact"/>
        <w:rPr>
          <w:rFonts w:ascii="Times New Roman" w:hAnsi="Times New Roman" w:eastAsia="方正小标宋简体" w:cs="Times New Roman"/>
          <w:color w:val="auto"/>
          <w:sz w:val="32"/>
          <w:szCs w:val="32"/>
          <w:highlight w:val="none"/>
        </w:rPr>
      </w:pPr>
    </w:p>
    <w:p>
      <w:pPr>
        <w:jc w:val="center"/>
        <w:rPr>
          <w:rFonts w:ascii="Times New Roman" w:hAnsi="Times New Roman" w:eastAsia="方正小标宋简体" w:cs="Times New Roman"/>
          <w:color w:val="auto"/>
          <w:sz w:val="32"/>
          <w:szCs w:val="32"/>
          <w:highlight w:val="none"/>
        </w:rPr>
      </w:pPr>
      <w:r>
        <w:rPr>
          <w:rFonts w:hint="default" w:ascii="Times New Roman" w:hAnsi="Times New Roman" w:eastAsia="方正小标宋简体" w:cs="Times New Roman"/>
          <w:color w:val="auto"/>
          <w:sz w:val="32"/>
          <w:szCs w:val="32"/>
          <w:highlight w:val="none"/>
        </w:rPr>
        <w:t>（征求意见稿）</w:t>
      </w:r>
    </w:p>
    <w:p>
      <w:pPr>
        <w:spacing w:line="560" w:lineRule="exact"/>
        <w:jc w:val="center"/>
        <w:rPr>
          <w:rFonts w:ascii="Times New Roman" w:hAnsi="Times New Roman" w:eastAsia="方正楷体简体" w:cs="Times New Roman"/>
          <w:b/>
          <w:bCs/>
          <w:color w:val="auto"/>
          <w:sz w:val="32"/>
          <w:szCs w:val="32"/>
          <w:highlight w:val="none"/>
        </w:rPr>
      </w:pPr>
    </w:p>
    <w:p>
      <w:pPr>
        <w:spacing w:line="560" w:lineRule="exact"/>
        <w:jc w:val="center"/>
        <w:rPr>
          <w:rFonts w:ascii="Times New Roman" w:hAnsi="Times New Roman" w:eastAsia="方正楷体简体" w:cs="Times New Roman"/>
          <w:b/>
          <w:bCs/>
          <w:color w:val="auto"/>
          <w:sz w:val="32"/>
          <w:szCs w:val="32"/>
          <w:highlight w:val="none"/>
        </w:rPr>
      </w:pPr>
    </w:p>
    <w:p>
      <w:pPr>
        <w:spacing w:line="560" w:lineRule="exact"/>
        <w:jc w:val="center"/>
        <w:rPr>
          <w:rFonts w:ascii="Times New Roman" w:hAnsi="Times New Roman" w:eastAsia="方正楷体简体" w:cs="Times New Roman"/>
          <w:b/>
          <w:bCs/>
          <w:color w:val="auto"/>
          <w:sz w:val="32"/>
          <w:szCs w:val="32"/>
          <w:highlight w:val="none"/>
        </w:rPr>
      </w:pPr>
    </w:p>
    <w:p>
      <w:pPr>
        <w:spacing w:line="560" w:lineRule="exact"/>
        <w:jc w:val="center"/>
        <w:rPr>
          <w:rFonts w:ascii="Times New Roman" w:hAnsi="Times New Roman" w:eastAsia="方正楷体简体" w:cs="Times New Roman"/>
          <w:b/>
          <w:bCs/>
          <w:color w:val="auto"/>
          <w:sz w:val="32"/>
          <w:szCs w:val="32"/>
          <w:highlight w:val="none"/>
        </w:rPr>
      </w:pPr>
    </w:p>
    <w:p>
      <w:pPr>
        <w:spacing w:line="560" w:lineRule="exact"/>
        <w:jc w:val="center"/>
        <w:rPr>
          <w:rFonts w:ascii="Times New Roman" w:hAnsi="Times New Roman" w:eastAsia="方正楷体简体" w:cs="Times New Roman"/>
          <w:b/>
          <w:bCs/>
          <w:color w:val="auto"/>
          <w:sz w:val="32"/>
          <w:szCs w:val="32"/>
          <w:highlight w:val="none"/>
        </w:rPr>
      </w:pPr>
    </w:p>
    <w:p>
      <w:pPr>
        <w:spacing w:line="560" w:lineRule="exact"/>
        <w:jc w:val="center"/>
        <w:rPr>
          <w:rFonts w:ascii="Times New Roman" w:hAnsi="Times New Roman" w:eastAsia="方正楷体简体" w:cs="Times New Roman"/>
          <w:b/>
          <w:bCs/>
          <w:color w:val="auto"/>
          <w:sz w:val="32"/>
          <w:szCs w:val="32"/>
          <w:highlight w:val="none"/>
        </w:rPr>
      </w:pPr>
    </w:p>
    <w:p>
      <w:pPr>
        <w:spacing w:line="560" w:lineRule="exact"/>
        <w:jc w:val="center"/>
        <w:rPr>
          <w:rFonts w:ascii="Times New Roman" w:hAnsi="Times New Roman" w:eastAsia="方正楷体简体" w:cs="Times New Roman"/>
          <w:b/>
          <w:bCs/>
          <w:color w:val="auto"/>
          <w:sz w:val="32"/>
          <w:szCs w:val="32"/>
          <w:highlight w:val="none"/>
        </w:rPr>
      </w:pPr>
    </w:p>
    <w:p>
      <w:pPr>
        <w:spacing w:line="560" w:lineRule="exact"/>
        <w:jc w:val="center"/>
        <w:rPr>
          <w:rFonts w:ascii="Times New Roman" w:hAnsi="Times New Roman" w:eastAsia="方正楷体简体" w:cs="Times New Roman"/>
          <w:b/>
          <w:bCs/>
          <w:color w:val="auto"/>
          <w:sz w:val="32"/>
          <w:szCs w:val="32"/>
          <w:highlight w:val="none"/>
        </w:rPr>
      </w:pPr>
    </w:p>
    <w:p>
      <w:pPr>
        <w:spacing w:line="560" w:lineRule="exact"/>
        <w:jc w:val="center"/>
        <w:rPr>
          <w:rFonts w:ascii="Times New Roman" w:hAnsi="Times New Roman" w:eastAsia="方正楷体简体" w:cs="Times New Roman"/>
          <w:b/>
          <w:bCs/>
          <w:color w:val="auto"/>
          <w:sz w:val="32"/>
          <w:szCs w:val="32"/>
          <w:highlight w:val="none"/>
        </w:rPr>
      </w:pPr>
    </w:p>
    <w:p>
      <w:pPr>
        <w:spacing w:line="560" w:lineRule="exact"/>
        <w:jc w:val="center"/>
        <w:rPr>
          <w:rFonts w:ascii="Times New Roman" w:hAnsi="Times New Roman" w:eastAsia="方正楷体简体" w:cs="Times New Roman"/>
          <w:b/>
          <w:bCs/>
          <w:color w:val="auto"/>
          <w:sz w:val="32"/>
          <w:szCs w:val="32"/>
          <w:highlight w:val="none"/>
        </w:rPr>
      </w:pPr>
    </w:p>
    <w:p>
      <w:pPr>
        <w:spacing w:line="560" w:lineRule="exact"/>
        <w:jc w:val="center"/>
        <w:rPr>
          <w:rFonts w:ascii="Times New Roman" w:hAnsi="Times New Roman" w:eastAsia="方正楷体简体" w:cs="Times New Roman"/>
          <w:b/>
          <w:bCs/>
          <w:color w:val="auto"/>
          <w:sz w:val="32"/>
          <w:szCs w:val="32"/>
          <w:highlight w:val="none"/>
        </w:rPr>
      </w:pPr>
    </w:p>
    <w:p>
      <w:pPr>
        <w:jc w:val="center"/>
        <w:rPr>
          <w:rFonts w:ascii="Times New Roman" w:hAnsi="Times New Roman" w:eastAsia="方正小标宋_GBK" w:cs="Times New Roman"/>
          <w:b/>
          <w:bCs/>
          <w:color w:val="auto"/>
          <w:sz w:val="36"/>
          <w:szCs w:val="36"/>
          <w:highlight w:val="none"/>
        </w:rPr>
        <w:sectPr>
          <w:footerReference r:id="rId3" w:type="default"/>
          <w:type w:val="continuous"/>
          <w:pgSz w:w="11906" w:h="16838"/>
          <w:pgMar w:top="1440" w:right="1797" w:bottom="1440" w:left="1797" w:header="851" w:footer="992" w:gutter="0"/>
          <w:pgNumType w:start="1"/>
          <w:cols w:space="425" w:num="1"/>
          <w:docGrid w:type="lines" w:linePitch="312" w:charSpace="0"/>
        </w:sectPr>
      </w:pPr>
      <w:r>
        <w:rPr>
          <w:rFonts w:ascii="Times New Roman" w:hAnsi="Times New Roman" w:eastAsia="方正小标宋_GBK" w:cs="Times New Roman"/>
          <w:b/>
          <w:bCs/>
          <w:color w:val="auto"/>
          <w:sz w:val="36"/>
          <w:szCs w:val="36"/>
          <w:highlight w:val="none"/>
        </w:rPr>
        <w:t>2021年</w:t>
      </w:r>
      <w:r>
        <w:rPr>
          <w:rFonts w:hint="eastAsia" w:ascii="Times New Roman" w:hAnsi="Times New Roman" w:eastAsia="方正小标宋_GBK" w:cs="Times New Roman"/>
          <w:b/>
          <w:bCs/>
          <w:color w:val="auto"/>
          <w:sz w:val="36"/>
          <w:szCs w:val="36"/>
          <w:highlight w:val="none"/>
          <w:lang w:val="en-US" w:eastAsia="zh-CN"/>
        </w:rPr>
        <w:t>7</w:t>
      </w:r>
      <w:r>
        <w:rPr>
          <w:rFonts w:ascii="Times New Roman" w:hAnsi="Times New Roman" w:eastAsia="方正小标宋_GBK" w:cs="Times New Roman"/>
          <w:b/>
          <w:bCs/>
          <w:color w:val="auto"/>
          <w:sz w:val="36"/>
          <w:szCs w:val="36"/>
          <w:highlight w:val="none"/>
        </w:rPr>
        <w:t>月</w:t>
      </w:r>
    </w:p>
    <w:p>
      <w:pPr>
        <w:spacing w:line="560" w:lineRule="exact"/>
        <w:jc w:val="center"/>
        <w:rPr>
          <w:rFonts w:ascii="Times New Roman" w:hAnsi="Times New Roman" w:eastAsia="黑体" w:cs="Times New Roman"/>
          <w:b/>
          <w:bCs/>
          <w:color w:val="auto"/>
          <w:sz w:val="36"/>
          <w:szCs w:val="36"/>
          <w:highlight w:val="none"/>
        </w:rPr>
        <w:sectPr>
          <w:footerReference r:id="rId4" w:type="default"/>
          <w:type w:val="continuous"/>
          <w:pgSz w:w="11906" w:h="16838"/>
          <w:pgMar w:top="1440" w:right="1797" w:bottom="1440" w:left="1797" w:header="720" w:footer="720" w:gutter="0"/>
          <w:cols w:space="720" w:num="1"/>
          <w:docGrid w:type="lines" w:linePitch="312" w:charSpace="0"/>
        </w:sectPr>
      </w:pPr>
    </w:p>
    <w:p>
      <w:pPr>
        <w:spacing w:line="620" w:lineRule="exact"/>
        <w:jc w:val="center"/>
        <w:rPr>
          <w:rFonts w:ascii="Times New Roman" w:hAnsi="Times New Roman" w:eastAsia="方正小标宋_GBK" w:cs="Times New Roman"/>
          <w:b/>
          <w:bCs/>
          <w:color w:val="auto"/>
          <w:sz w:val="40"/>
          <w:szCs w:val="40"/>
          <w:highlight w:val="none"/>
        </w:rPr>
      </w:pPr>
      <w:bookmarkStart w:id="0" w:name="_Toc23438"/>
      <w:r>
        <w:rPr>
          <w:rFonts w:ascii="Times New Roman" w:hAnsi="Times New Roman" w:eastAsia="方正小标宋_GBK" w:cs="Times New Roman"/>
          <w:b/>
          <w:bCs/>
          <w:color w:val="auto"/>
          <w:sz w:val="40"/>
          <w:szCs w:val="40"/>
          <w:highlight w:val="none"/>
        </w:rPr>
        <w:t>前  言</w:t>
      </w:r>
      <w:bookmarkEnd w:id="0"/>
    </w:p>
    <w:p>
      <w:pPr>
        <w:pStyle w:val="22"/>
        <w:snapToGrid w:val="0"/>
        <w:spacing w:line="620" w:lineRule="exact"/>
        <w:ind w:firstLine="640"/>
        <w:rPr>
          <w:rFonts w:ascii="Times New Roman" w:hAnsi="Times New Roman"/>
          <w:bCs/>
          <w:color w:val="auto"/>
          <w:szCs w:val="32"/>
          <w:highlight w:val="none"/>
        </w:rPr>
      </w:pPr>
    </w:p>
    <w:p>
      <w:pPr>
        <w:pStyle w:val="22"/>
        <w:snapToGrid w:val="0"/>
        <w:spacing w:line="620" w:lineRule="exact"/>
        <w:ind w:firstLine="640"/>
        <w:rPr>
          <w:rFonts w:ascii="Times New Roman" w:hAnsi="Times New Roman"/>
          <w:bCs/>
          <w:color w:val="auto"/>
          <w:szCs w:val="32"/>
          <w:highlight w:val="none"/>
        </w:rPr>
      </w:pPr>
      <w:r>
        <w:rPr>
          <w:rFonts w:ascii="Times New Roman" w:hAnsi="Times New Roman"/>
          <w:bCs/>
          <w:color w:val="auto"/>
          <w:szCs w:val="32"/>
          <w:highlight w:val="none"/>
        </w:rPr>
        <w:t>“十四五”时期，是乘势而上开启全面建设社会主义现代化荥经新征程的第一个五年，也是巩固拓展脱贫攻坚成果、全面推进乡村振兴、加快农业农村现代化关键时期。加快农业农村现代化，是形成新型工农城乡关系的客观要求、是社会主义现代化荥经建设的重大任务，是做好新时代“三农”工作的核心目标。</w:t>
      </w:r>
    </w:p>
    <w:p>
      <w:pPr>
        <w:pStyle w:val="22"/>
        <w:snapToGrid w:val="0"/>
        <w:spacing w:line="620" w:lineRule="exact"/>
        <w:ind w:firstLine="640"/>
        <w:rPr>
          <w:rFonts w:ascii="Times New Roman" w:hAnsi="Times New Roman"/>
          <w:bCs/>
          <w:color w:val="auto"/>
          <w:szCs w:val="32"/>
          <w:highlight w:val="none"/>
        </w:rPr>
      </w:pPr>
      <w:r>
        <w:rPr>
          <w:rFonts w:ascii="Times New Roman" w:hAnsi="Times New Roman"/>
          <w:bCs/>
          <w:color w:val="auto"/>
          <w:szCs w:val="32"/>
          <w:highlight w:val="none"/>
        </w:rPr>
        <w:t>为贯彻落实《中共荥经县委关于制定荥经县国民经济和社会发展第十四个五年规划和二〇三五年远景目标的建议》《中共荥经县委关于制定荥经县国民经济和社会发展第十四个五年规划和二〇三五年远景目标纲要》，推动新发展阶段全省“三农”工作不断开创新局面，与全国同步基本实现农业农村现代化，特编制本规划。规划立足荥经县情实际，紧紧围绕基本实现农业农村现代化奋斗目标，明确了未来五年经济社会发展的主要目标、重点任务和重要举措。</w:t>
      </w:r>
    </w:p>
    <w:p>
      <w:pPr>
        <w:pStyle w:val="22"/>
        <w:snapToGrid w:val="0"/>
        <w:spacing w:line="620" w:lineRule="exact"/>
        <w:ind w:firstLine="640"/>
        <w:rPr>
          <w:rFonts w:ascii="Times New Roman" w:hAnsi="Times New Roman"/>
          <w:bCs/>
          <w:color w:val="auto"/>
          <w:szCs w:val="32"/>
          <w:highlight w:val="none"/>
        </w:rPr>
      </w:pPr>
      <w:r>
        <w:rPr>
          <w:rFonts w:ascii="Times New Roman" w:hAnsi="Times New Roman"/>
          <w:bCs/>
          <w:color w:val="auto"/>
          <w:szCs w:val="32"/>
          <w:highlight w:val="none"/>
        </w:rPr>
        <w:t>本规划是“十四五”时期荥经县推进农业农村现代化的指导性文件。</w:t>
      </w:r>
      <w:r>
        <w:rPr>
          <w:rFonts w:ascii="Times New Roman" w:hAnsi="Times New Roman"/>
          <w:bCs/>
          <w:color w:val="auto"/>
          <w:szCs w:val="32"/>
          <w:highlight w:val="none"/>
        </w:rPr>
        <w:tab/>
      </w:r>
    </w:p>
    <w:p>
      <w:pPr>
        <w:pStyle w:val="22"/>
        <w:snapToGrid w:val="0"/>
        <w:spacing w:line="620" w:lineRule="exact"/>
        <w:ind w:firstLine="640"/>
        <w:rPr>
          <w:rFonts w:ascii="Times New Roman" w:hAnsi="Times New Roman"/>
          <w:bCs/>
          <w:color w:val="auto"/>
          <w:szCs w:val="32"/>
          <w:highlight w:val="none"/>
        </w:rPr>
        <w:sectPr>
          <w:pgSz w:w="11906" w:h="16838"/>
          <w:pgMar w:top="1440" w:right="1797" w:bottom="1440" w:left="1797" w:header="720" w:footer="720" w:gutter="0"/>
          <w:cols w:space="720" w:num="1"/>
          <w:docGrid w:type="lines" w:linePitch="312" w:charSpace="0"/>
        </w:sectPr>
      </w:pPr>
    </w:p>
    <w:p>
      <w:pPr>
        <w:spacing w:line="560" w:lineRule="exact"/>
        <w:jc w:val="center"/>
        <w:rPr>
          <w:rFonts w:hint="eastAsia" w:ascii="方正小标宋简体" w:hAnsi="方正小标宋简体" w:eastAsia="方正小标宋简体" w:cs="方正小标宋简体"/>
          <w:color w:val="auto"/>
          <w:sz w:val="28"/>
          <w:szCs w:val="28"/>
          <w:highlight w:val="none"/>
        </w:rPr>
      </w:pPr>
      <w:r>
        <w:rPr>
          <w:rFonts w:hint="eastAsia" w:ascii="方正小标宋简体" w:hAnsi="方正小标宋简体" w:eastAsia="方正小标宋简体" w:cs="方正小标宋简体"/>
          <w:b/>
          <w:bCs/>
          <w:color w:val="auto"/>
          <w:sz w:val="36"/>
          <w:szCs w:val="36"/>
          <w:highlight w:val="none"/>
        </w:rPr>
        <w:t>目</w:t>
      </w:r>
      <w:r>
        <w:rPr>
          <w:rFonts w:hint="eastAsia" w:ascii="方正小标宋简体" w:hAnsi="方正小标宋简体" w:eastAsia="方正小标宋简体" w:cs="方正小标宋简体"/>
          <w:b/>
          <w:bCs/>
          <w:color w:val="auto"/>
          <w:sz w:val="36"/>
          <w:szCs w:val="36"/>
          <w:highlight w:val="none"/>
          <w:lang w:val="en-US" w:eastAsia="zh-CN"/>
        </w:rPr>
        <w:t xml:space="preserve">  </w:t>
      </w:r>
      <w:r>
        <w:rPr>
          <w:rFonts w:hint="eastAsia" w:ascii="方正小标宋简体" w:hAnsi="方正小标宋简体" w:eastAsia="方正小标宋简体" w:cs="方正小标宋简体"/>
          <w:b/>
          <w:bCs/>
          <w:color w:val="auto"/>
          <w:sz w:val="36"/>
          <w:szCs w:val="36"/>
          <w:highlight w:val="none"/>
        </w:rPr>
        <w:t>录</w:t>
      </w:r>
    </w:p>
    <w:p>
      <w:pPr>
        <w:pStyle w:val="12"/>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TOC \o "1-2" \h \u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_Toc30749 </w:instrText>
      </w:r>
      <w:r>
        <w:rPr>
          <w:rFonts w:ascii="Times New Roman" w:hAnsi="Times New Roman" w:cs="Times New Roman"/>
          <w:color w:val="auto"/>
          <w:sz w:val="30"/>
          <w:szCs w:val="30"/>
          <w:highlight w:val="none"/>
        </w:rPr>
        <w:fldChar w:fldCharType="separate"/>
      </w:r>
      <w:r>
        <w:rPr>
          <w:rFonts w:hint="default" w:ascii="Times New Roman" w:hAnsi="Times New Roman" w:eastAsia="方正小标宋简体" w:cs="Times New Roman"/>
          <w:bCs/>
          <w:color w:val="auto"/>
          <w:sz w:val="30"/>
          <w:szCs w:val="30"/>
          <w:highlight w:val="none"/>
        </w:rPr>
        <w:t xml:space="preserve">第一章 </w:t>
      </w:r>
      <w:r>
        <w:rPr>
          <w:rFonts w:ascii="Times New Roman" w:hAnsi="Times New Roman" w:eastAsia="方正小标宋简体" w:cs="Times New Roman"/>
          <w:bCs/>
          <w:color w:val="auto"/>
          <w:sz w:val="30"/>
          <w:szCs w:val="30"/>
          <w:highlight w:val="none"/>
        </w:rPr>
        <w:t>开启全面推进农业农村现代化新征程</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_Toc30749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1</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_Toc9362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第一节 </w:t>
      </w:r>
      <w:r>
        <w:rPr>
          <w:rFonts w:ascii="Times New Roman" w:hAnsi="Times New Roman" w:cs="Times New Roman"/>
          <w:bCs/>
          <w:color w:val="auto"/>
          <w:sz w:val="30"/>
          <w:szCs w:val="30"/>
          <w:highlight w:val="none"/>
        </w:rPr>
        <w:t>发展基础</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_Toc9362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1</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_Toc24885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第二节 </w:t>
      </w:r>
      <w:r>
        <w:rPr>
          <w:rFonts w:ascii="Times New Roman" w:hAnsi="Times New Roman" w:cs="Times New Roman"/>
          <w:bCs/>
          <w:color w:val="auto"/>
          <w:sz w:val="30"/>
          <w:szCs w:val="30"/>
          <w:highlight w:val="none"/>
        </w:rPr>
        <w:t>面临形势</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_Toc24885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4</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_Toc29947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第三节 </w:t>
      </w:r>
      <w:r>
        <w:rPr>
          <w:rFonts w:ascii="Times New Roman" w:hAnsi="Times New Roman" w:cs="Times New Roman"/>
          <w:bCs/>
          <w:color w:val="auto"/>
          <w:sz w:val="30"/>
          <w:szCs w:val="30"/>
          <w:highlight w:val="none"/>
        </w:rPr>
        <w:t>指导思想</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_Toc29947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7</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_Toc28043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第四节 </w:t>
      </w:r>
      <w:r>
        <w:rPr>
          <w:rFonts w:ascii="Times New Roman" w:hAnsi="Times New Roman" w:cs="Times New Roman"/>
          <w:bCs/>
          <w:color w:val="auto"/>
          <w:sz w:val="30"/>
          <w:szCs w:val="30"/>
          <w:highlight w:val="none"/>
        </w:rPr>
        <w:t>基本原则</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_Toc28043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8</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_Toc30052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第五节 </w:t>
      </w:r>
      <w:r>
        <w:rPr>
          <w:rFonts w:ascii="Times New Roman" w:hAnsi="Times New Roman" w:cs="Times New Roman"/>
          <w:bCs/>
          <w:color w:val="auto"/>
          <w:sz w:val="30"/>
          <w:szCs w:val="30"/>
          <w:highlight w:val="none"/>
        </w:rPr>
        <w:t>主要目标</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_Toc30052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9</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_Toc8616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第六节 </w:t>
      </w:r>
      <w:r>
        <w:rPr>
          <w:rFonts w:ascii="Times New Roman" w:hAnsi="Times New Roman" w:cs="Times New Roman"/>
          <w:bCs/>
          <w:color w:val="auto"/>
          <w:sz w:val="30"/>
          <w:szCs w:val="30"/>
          <w:highlight w:val="none"/>
        </w:rPr>
        <w:t>总体布局</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_Toc8616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15</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2"/>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_Toc18468 </w:instrText>
      </w:r>
      <w:r>
        <w:rPr>
          <w:rFonts w:ascii="Times New Roman" w:hAnsi="Times New Roman" w:cs="Times New Roman"/>
          <w:color w:val="auto"/>
          <w:sz w:val="30"/>
          <w:szCs w:val="30"/>
          <w:highlight w:val="none"/>
        </w:rPr>
        <w:fldChar w:fldCharType="separate"/>
      </w:r>
      <w:r>
        <w:rPr>
          <w:rFonts w:hint="default" w:ascii="Times New Roman" w:hAnsi="Times New Roman" w:eastAsia="方正小标宋简体" w:cs="Times New Roman"/>
          <w:bCs/>
          <w:color w:val="auto"/>
          <w:sz w:val="30"/>
          <w:szCs w:val="30"/>
          <w:highlight w:val="none"/>
        </w:rPr>
        <w:t xml:space="preserve">第二章 </w:t>
      </w:r>
      <w:r>
        <w:rPr>
          <w:rFonts w:ascii="Times New Roman" w:hAnsi="Times New Roman" w:eastAsia="方正小标宋简体" w:cs="Times New Roman"/>
          <w:bCs/>
          <w:color w:val="auto"/>
          <w:sz w:val="30"/>
          <w:szCs w:val="30"/>
          <w:highlight w:val="none"/>
        </w:rPr>
        <w:t>健全“4+4”现代农业体系，推动农业高质量发展</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_Toc18468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18</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_Toc11980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第一节 </w:t>
      </w:r>
      <w:r>
        <w:rPr>
          <w:rFonts w:hint="eastAsia" w:ascii="Times New Roman" w:hAnsi="Times New Roman" w:cs="Times New Roman"/>
          <w:bCs/>
          <w:color w:val="auto"/>
          <w:sz w:val="30"/>
          <w:szCs w:val="30"/>
          <w:highlight w:val="none"/>
        </w:rPr>
        <w:t>深度</w:t>
      </w:r>
      <w:r>
        <w:rPr>
          <w:rFonts w:ascii="Times New Roman" w:hAnsi="Times New Roman" w:cs="Times New Roman"/>
          <w:bCs/>
          <w:color w:val="auto"/>
          <w:sz w:val="30"/>
          <w:szCs w:val="30"/>
          <w:highlight w:val="none"/>
        </w:rPr>
        <w:t>融合发展茶产业</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_Toc11980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18</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_Toc6316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第二节 </w:t>
      </w:r>
      <w:r>
        <w:rPr>
          <w:rFonts w:ascii="Times New Roman" w:hAnsi="Times New Roman" w:cs="Times New Roman"/>
          <w:bCs/>
          <w:color w:val="auto"/>
          <w:sz w:val="30"/>
          <w:szCs w:val="30"/>
          <w:highlight w:val="none"/>
        </w:rPr>
        <w:t>稳步发展生猪产业</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_Toc6316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22</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_Toc15603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第三节 </w:t>
      </w:r>
      <w:r>
        <w:rPr>
          <w:rFonts w:ascii="Times New Roman" w:hAnsi="Times New Roman" w:cs="Times New Roman"/>
          <w:bCs/>
          <w:color w:val="auto"/>
          <w:sz w:val="30"/>
          <w:szCs w:val="30"/>
          <w:highlight w:val="none"/>
        </w:rPr>
        <w:t>提档强化林竹产业</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_Toc15603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24</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_Toc14358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第四节 </w:t>
      </w:r>
      <w:r>
        <w:rPr>
          <w:rFonts w:ascii="Times New Roman" w:hAnsi="Times New Roman" w:cs="Times New Roman"/>
          <w:bCs/>
          <w:color w:val="auto"/>
          <w:sz w:val="30"/>
          <w:szCs w:val="30"/>
          <w:highlight w:val="none"/>
        </w:rPr>
        <w:t>加快发展中药材产业</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_Toc14358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27</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_Toc15103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第五节 </w:t>
      </w:r>
      <w:r>
        <w:rPr>
          <w:rFonts w:ascii="Times New Roman" w:hAnsi="Times New Roman" w:cs="Times New Roman"/>
          <w:bCs/>
          <w:color w:val="auto"/>
          <w:sz w:val="30"/>
          <w:szCs w:val="30"/>
          <w:highlight w:val="none"/>
        </w:rPr>
        <w:t>加快发展黄牛产业</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_Toc15103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29</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_Toc12070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第六节 </w:t>
      </w:r>
      <w:r>
        <w:rPr>
          <w:rFonts w:ascii="Times New Roman" w:hAnsi="Times New Roman" w:cs="Times New Roman"/>
          <w:bCs/>
          <w:color w:val="auto"/>
          <w:sz w:val="30"/>
          <w:szCs w:val="30"/>
          <w:highlight w:val="none"/>
        </w:rPr>
        <w:t>因地制宜发展水产业</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_Toc12070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31</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_Toc2874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第七节 </w:t>
      </w:r>
      <w:r>
        <w:rPr>
          <w:rFonts w:hint="eastAsia" w:ascii="Times New Roman" w:hAnsi="Times New Roman" w:cs="Times New Roman"/>
          <w:bCs/>
          <w:color w:val="auto"/>
          <w:sz w:val="30"/>
          <w:szCs w:val="30"/>
          <w:highlight w:val="none"/>
        </w:rPr>
        <w:t>提质增效</w:t>
      </w:r>
      <w:r>
        <w:rPr>
          <w:rFonts w:ascii="Times New Roman" w:hAnsi="Times New Roman" w:cs="Times New Roman"/>
          <w:bCs/>
          <w:color w:val="auto"/>
          <w:sz w:val="30"/>
          <w:szCs w:val="30"/>
          <w:highlight w:val="none"/>
        </w:rPr>
        <w:t>生态果蔬产业</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_Toc2874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32</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_Toc3927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第八节 </w:t>
      </w:r>
      <w:r>
        <w:rPr>
          <w:rFonts w:ascii="Times New Roman" w:hAnsi="Times New Roman" w:cs="Times New Roman"/>
          <w:bCs/>
          <w:color w:val="auto"/>
          <w:sz w:val="30"/>
          <w:szCs w:val="30"/>
          <w:highlight w:val="none"/>
        </w:rPr>
        <w:t>适度发展高山蜂产业</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_Toc3927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34</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_Toc13348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第九节 </w:t>
      </w:r>
      <w:r>
        <w:rPr>
          <w:rFonts w:ascii="Times New Roman" w:hAnsi="Times New Roman" w:cs="Times New Roman"/>
          <w:bCs/>
          <w:color w:val="auto"/>
          <w:sz w:val="30"/>
          <w:szCs w:val="30"/>
          <w:highlight w:val="none"/>
        </w:rPr>
        <w:t>积极发展休闲观光农业</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_Toc13348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35</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2"/>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_Toc956 </w:instrText>
      </w:r>
      <w:r>
        <w:rPr>
          <w:rFonts w:ascii="Times New Roman" w:hAnsi="Times New Roman" w:cs="Times New Roman"/>
          <w:color w:val="auto"/>
          <w:sz w:val="30"/>
          <w:szCs w:val="30"/>
          <w:highlight w:val="none"/>
        </w:rPr>
        <w:fldChar w:fldCharType="separate"/>
      </w:r>
      <w:r>
        <w:rPr>
          <w:rFonts w:hint="default" w:ascii="Times New Roman" w:hAnsi="Times New Roman" w:eastAsia="方正小标宋简体" w:cs="Times New Roman"/>
          <w:bCs/>
          <w:color w:val="auto"/>
          <w:sz w:val="30"/>
          <w:szCs w:val="30"/>
          <w:highlight w:val="none"/>
        </w:rPr>
        <w:t xml:space="preserve">第三章 </w:t>
      </w:r>
      <w:r>
        <w:rPr>
          <w:rFonts w:ascii="Times New Roman" w:hAnsi="Times New Roman" w:eastAsia="方正小标宋简体" w:cs="Times New Roman"/>
          <w:bCs/>
          <w:color w:val="auto"/>
          <w:sz w:val="30"/>
          <w:szCs w:val="30"/>
          <w:highlight w:val="none"/>
        </w:rPr>
        <w:t>夯实产业发展基础，增强农业综合生产能力</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_Toc956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38</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_Toc9896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第一节 </w:t>
      </w:r>
      <w:r>
        <w:rPr>
          <w:rFonts w:ascii="Times New Roman" w:hAnsi="Times New Roman" w:cs="Times New Roman"/>
          <w:bCs/>
          <w:color w:val="auto"/>
          <w:sz w:val="30"/>
          <w:szCs w:val="30"/>
          <w:highlight w:val="none"/>
        </w:rPr>
        <w:t>实施现代农业装备水平提升行动</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_Toc9896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38</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_Toc26044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第二节 </w:t>
      </w:r>
      <w:r>
        <w:rPr>
          <w:rFonts w:ascii="Times New Roman" w:hAnsi="Times New Roman" w:cs="Times New Roman"/>
          <w:bCs/>
          <w:color w:val="auto"/>
          <w:sz w:val="30"/>
          <w:szCs w:val="30"/>
          <w:highlight w:val="none"/>
        </w:rPr>
        <w:t>实施农业烘干冷链物流体系健全行动</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_Toc26044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38</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_Toc23078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第三节 </w:t>
      </w:r>
      <w:r>
        <w:rPr>
          <w:rFonts w:ascii="Times New Roman" w:hAnsi="Times New Roman" w:cs="Times New Roman"/>
          <w:bCs/>
          <w:color w:val="auto"/>
          <w:sz w:val="30"/>
          <w:szCs w:val="30"/>
          <w:highlight w:val="none"/>
        </w:rPr>
        <w:t>提高粮食供给保障水平</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_Toc23078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39</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_Toc11365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第四节 </w:t>
      </w:r>
      <w:r>
        <w:rPr>
          <w:rFonts w:ascii="Times New Roman" w:hAnsi="Times New Roman" w:cs="Times New Roman"/>
          <w:bCs/>
          <w:color w:val="auto"/>
          <w:sz w:val="30"/>
          <w:szCs w:val="30"/>
          <w:highlight w:val="none"/>
        </w:rPr>
        <w:t>推进农田水利建设</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_Toc11365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40</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_Toc6626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第五节 </w:t>
      </w:r>
      <w:r>
        <w:rPr>
          <w:rFonts w:ascii="Times New Roman" w:hAnsi="Times New Roman" w:cs="Times New Roman"/>
          <w:bCs/>
          <w:color w:val="auto"/>
          <w:sz w:val="30"/>
          <w:szCs w:val="30"/>
          <w:highlight w:val="none"/>
        </w:rPr>
        <w:t>加快数字农业建设</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_Toc6626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40</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_Toc3248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第六节 </w:t>
      </w:r>
      <w:r>
        <w:rPr>
          <w:rFonts w:ascii="Times New Roman" w:hAnsi="Times New Roman" w:cs="Times New Roman"/>
          <w:bCs/>
          <w:color w:val="auto"/>
          <w:sz w:val="30"/>
          <w:szCs w:val="30"/>
          <w:highlight w:val="none"/>
        </w:rPr>
        <w:t>强化农业科技支撑</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_Toc3248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41</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_Toc2727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第七节 </w:t>
      </w:r>
      <w:r>
        <w:rPr>
          <w:rFonts w:ascii="Times New Roman" w:hAnsi="Times New Roman" w:cs="Times New Roman"/>
          <w:bCs/>
          <w:color w:val="auto"/>
          <w:sz w:val="30"/>
          <w:szCs w:val="30"/>
          <w:highlight w:val="none"/>
        </w:rPr>
        <w:t>增强农业防灾减灾能力</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_Toc2727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41</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2"/>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_Toc13577 </w:instrText>
      </w:r>
      <w:r>
        <w:rPr>
          <w:rFonts w:ascii="Times New Roman" w:hAnsi="Times New Roman" w:cs="Times New Roman"/>
          <w:color w:val="auto"/>
          <w:sz w:val="30"/>
          <w:szCs w:val="30"/>
          <w:highlight w:val="none"/>
        </w:rPr>
        <w:fldChar w:fldCharType="separate"/>
      </w:r>
      <w:r>
        <w:rPr>
          <w:rFonts w:hint="default" w:ascii="Times New Roman" w:hAnsi="Times New Roman" w:eastAsia="方正小标宋简体" w:cs="Times New Roman"/>
          <w:bCs/>
          <w:color w:val="auto"/>
          <w:sz w:val="30"/>
          <w:szCs w:val="30"/>
          <w:highlight w:val="none"/>
        </w:rPr>
        <w:t xml:space="preserve">第四章 </w:t>
      </w:r>
      <w:r>
        <w:rPr>
          <w:rFonts w:ascii="Times New Roman" w:hAnsi="Times New Roman" w:eastAsia="方正小标宋简体" w:cs="Times New Roman"/>
          <w:bCs/>
          <w:color w:val="auto"/>
          <w:sz w:val="30"/>
          <w:szCs w:val="30"/>
          <w:highlight w:val="none"/>
        </w:rPr>
        <w:t>推动农民全面发展</w:t>
      </w:r>
      <w:r>
        <w:rPr>
          <w:rFonts w:hint="eastAsia" w:ascii="Times New Roman" w:hAnsi="Times New Roman" w:eastAsia="方正小标宋简体" w:cs="Times New Roman"/>
          <w:bCs/>
          <w:color w:val="auto"/>
          <w:sz w:val="30"/>
          <w:szCs w:val="30"/>
          <w:highlight w:val="none"/>
        </w:rPr>
        <w:t>，加快构建现代化经营体系</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_Toc13577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45</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_Toc4801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第一节 </w:t>
      </w:r>
      <w:r>
        <w:rPr>
          <w:rFonts w:hint="eastAsia" w:ascii="Times New Roman" w:hAnsi="Times New Roman" w:cs="Times New Roman"/>
          <w:bCs/>
          <w:color w:val="auto"/>
          <w:sz w:val="30"/>
          <w:szCs w:val="30"/>
          <w:highlight w:val="none"/>
        </w:rPr>
        <w:t>加快</w:t>
      </w:r>
      <w:r>
        <w:rPr>
          <w:rFonts w:ascii="Times New Roman" w:hAnsi="Times New Roman" w:cs="Times New Roman"/>
          <w:bCs/>
          <w:color w:val="auto"/>
          <w:sz w:val="30"/>
          <w:szCs w:val="30"/>
          <w:highlight w:val="none"/>
        </w:rPr>
        <w:t>培育高素质农民</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_Toc4801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45</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_Toc17908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第二节 </w:t>
      </w:r>
      <w:r>
        <w:rPr>
          <w:rFonts w:hint="eastAsia" w:ascii="Times New Roman" w:hAnsi="Times New Roman" w:cs="Times New Roman"/>
          <w:bCs/>
          <w:color w:val="auto"/>
          <w:sz w:val="30"/>
          <w:szCs w:val="30"/>
          <w:highlight w:val="none"/>
        </w:rPr>
        <w:t>高质量发展家庭农场</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_Toc17908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45</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_Toc24183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第三节 </w:t>
      </w:r>
      <w:r>
        <w:rPr>
          <w:rFonts w:hint="eastAsia" w:ascii="Times New Roman" w:hAnsi="Times New Roman" w:cs="Times New Roman"/>
          <w:bCs/>
          <w:color w:val="auto"/>
          <w:sz w:val="30"/>
          <w:szCs w:val="30"/>
          <w:highlight w:val="none"/>
        </w:rPr>
        <w:t>规范发展农民合作社</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_Toc24183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46</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_Toc30985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第四节 </w:t>
      </w:r>
      <w:r>
        <w:rPr>
          <w:rFonts w:hint="eastAsia" w:ascii="Times New Roman" w:hAnsi="Times New Roman" w:cs="Times New Roman"/>
          <w:bCs/>
          <w:color w:val="auto"/>
          <w:sz w:val="30"/>
          <w:szCs w:val="30"/>
          <w:highlight w:val="none"/>
        </w:rPr>
        <w:t>做大做强龙头企业</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_Toc30985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46</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_Toc19887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第五节 </w:t>
      </w:r>
      <w:r>
        <w:rPr>
          <w:rFonts w:ascii="Times New Roman" w:hAnsi="Times New Roman" w:cs="Times New Roman"/>
          <w:bCs/>
          <w:color w:val="auto"/>
          <w:sz w:val="30"/>
          <w:szCs w:val="30"/>
          <w:highlight w:val="none"/>
        </w:rPr>
        <w:t>促进小农户和现代农业有机衔接</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_Toc19887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47</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_Toc12444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第六节 </w:t>
      </w:r>
      <w:r>
        <w:rPr>
          <w:rFonts w:ascii="Times New Roman" w:hAnsi="Times New Roman" w:cs="Times New Roman"/>
          <w:bCs/>
          <w:color w:val="auto"/>
          <w:sz w:val="30"/>
          <w:szCs w:val="30"/>
          <w:highlight w:val="none"/>
        </w:rPr>
        <w:t>促进农民转移就业</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_Toc12444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47</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2"/>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_Toc15816 </w:instrText>
      </w:r>
      <w:r>
        <w:rPr>
          <w:rFonts w:ascii="Times New Roman" w:hAnsi="Times New Roman" w:cs="Times New Roman"/>
          <w:color w:val="auto"/>
          <w:sz w:val="30"/>
          <w:szCs w:val="30"/>
          <w:highlight w:val="none"/>
        </w:rPr>
        <w:fldChar w:fldCharType="separate"/>
      </w:r>
      <w:r>
        <w:rPr>
          <w:rFonts w:hint="default" w:ascii="Times New Roman" w:hAnsi="Times New Roman" w:eastAsia="方正小标宋简体" w:cs="Times New Roman"/>
          <w:bCs/>
          <w:color w:val="auto"/>
          <w:sz w:val="30"/>
          <w:szCs w:val="30"/>
          <w:highlight w:val="none"/>
        </w:rPr>
        <w:t xml:space="preserve">第五章 </w:t>
      </w:r>
      <w:r>
        <w:rPr>
          <w:rFonts w:hint="eastAsia" w:ascii="Times New Roman" w:hAnsi="Times New Roman" w:eastAsia="方正小标宋简体" w:cs="Times New Roman"/>
          <w:bCs/>
          <w:color w:val="auto"/>
          <w:sz w:val="30"/>
          <w:szCs w:val="30"/>
          <w:highlight w:val="none"/>
        </w:rPr>
        <w:t>推动农业绿色发展</w:t>
      </w:r>
      <w:r>
        <w:rPr>
          <w:rFonts w:ascii="Times New Roman" w:hAnsi="Times New Roman" w:eastAsia="方正小标宋简体" w:cs="Times New Roman"/>
          <w:bCs/>
          <w:color w:val="auto"/>
          <w:sz w:val="30"/>
          <w:szCs w:val="30"/>
          <w:highlight w:val="none"/>
        </w:rPr>
        <w:t>，</w:t>
      </w:r>
      <w:r>
        <w:rPr>
          <w:rFonts w:hint="eastAsia" w:ascii="Times New Roman" w:hAnsi="Times New Roman" w:eastAsia="方正小标宋简体" w:cs="Times New Roman"/>
          <w:bCs/>
          <w:color w:val="auto"/>
          <w:sz w:val="30"/>
          <w:szCs w:val="30"/>
          <w:highlight w:val="none"/>
        </w:rPr>
        <w:t>强化农村生态文明建设</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_Toc15816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49</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_Toc22039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第一节 </w:t>
      </w:r>
      <w:r>
        <w:rPr>
          <w:rFonts w:ascii="Times New Roman" w:hAnsi="Times New Roman" w:cs="Times New Roman"/>
          <w:bCs/>
          <w:color w:val="auto"/>
          <w:sz w:val="30"/>
          <w:szCs w:val="30"/>
          <w:highlight w:val="none"/>
        </w:rPr>
        <w:t>实施农业绿色发展行动</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_Toc22039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49</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_Toc22456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第二节 </w:t>
      </w:r>
      <w:r>
        <w:rPr>
          <w:rFonts w:ascii="Times New Roman" w:hAnsi="Times New Roman" w:cs="Times New Roman"/>
          <w:bCs/>
          <w:color w:val="auto"/>
          <w:sz w:val="30"/>
          <w:szCs w:val="30"/>
          <w:highlight w:val="none"/>
        </w:rPr>
        <w:t>实施农产品质量安全提升行动</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_Toc22456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49</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_Toc14422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第三节 </w:t>
      </w:r>
      <w:r>
        <w:rPr>
          <w:rFonts w:ascii="Times New Roman" w:hAnsi="Times New Roman" w:cs="Times New Roman"/>
          <w:bCs/>
          <w:color w:val="auto"/>
          <w:sz w:val="30"/>
          <w:szCs w:val="30"/>
          <w:highlight w:val="none"/>
        </w:rPr>
        <w:t>实施“荥字号”品牌培育创建行动</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_Toc14422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50</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_Toc22122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第四节 </w:t>
      </w:r>
      <w:r>
        <w:rPr>
          <w:rFonts w:ascii="Times New Roman" w:hAnsi="Times New Roman" w:cs="Times New Roman"/>
          <w:bCs/>
          <w:color w:val="auto"/>
          <w:sz w:val="30"/>
          <w:szCs w:val="30"/>
          <w:highlight w:val="none"/>
        </w:rPr>
        <w:t>开展新一轮农村人居环境整治</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_Toc22122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50</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_Toc11034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第五节 </w:t>
      </w:r>
      <w:r>
        <w:rPr>
          <w:rFonts w:ascii="Times New Roman" w:hAnsi="Times New Roman" w:cs="Times New Roman"/>
          <w:bCs/>
          <w:color w:val="auto"/>
          <w:sz w:val="30"/>
          <w:szCs w:val="30"/>
          <w:highlight w:val="none"/>
        </w:rPr>
        <w:t>加强</w:t>
      </w:r>
      <w:r>
        <w:rPr>
          <w:rFonts w:hint="eastAsia" w:ascii="Times New Roman" w:hAnsi="Times New Roman" w:cs="Times New Roman"/>
          <w:bCs/>
          <w:color w:val="auto"/>
          <w:sz w:val="30"/>
          <w:szCs w:val="30"/>
          <w:highlight w:val="none"/>
        </w:rPr>
        <w:t>乡村生态环境</w:t>
      </w:r>
      <w:r>
        <w:rPr>
          <w:rFonts w:ascii="Times New Roman" w:hAnsi="Times New Roman" w:cs="Times New Roman"/>
          <w:bCs/>
          <w:color w:val="auto"/>
          <w:sz w:val="30"/>
          <w:szCs w:val="30"/>
          <w:highlight w:val="none"/>
        </w:rPr>
        <w:t>保护与修复</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_Toc11034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51</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2"/>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_Toc5172 </w:instrText>
      </w:r>
      <w:r>
        <w:rPr>
          <w:rFonts w:ascii="Times New Roman" w:hAnsi="Times New Roman" w:cs="Times New Roman"/>
          <w:color w:val="auto"/>
          <w:sz w:val="30"/>
          <w:szCs w:val="30"/>
          <w:highlight w:val="none"/>
        </w:rPr>
        <w:fldChar w:fldCharType="separate"/>
      </w:r>
      <w:r>
        <w:rPr>
          <w:rFonts w:hint="default" w:ascii="Times New Roman" w:hAnsi="Times New Roman" w:eastAsia="方正小标宋简体" w:cs="Times New Roman"/>
          <w:bCs/>
          <w:color w:val="auto"/>
          <w:sz w:val="30"/>
          <w:szCs w:val="30"/>
          <w:highlight w:val="none"/>
        </w:rPr>
        <w:t xml:space="preserve">第六章 </w:t>
      </w:r>
      <w:r>
        <w:rPr>
          <w:rFonts w:ascii="Times New Roman" w:hAnsi="Times New Roman" w:eastAsia="方正小标宋简体" w:cs="Times New Roman"/>
          <w:bCs/>
          <w:color w:val="auto"/>
          <w:sz w:val="30"/>
          <w:szCs w:val="30"/>
          <w:highlight w:val="none"/>
        </w:rPr>
        <w:t>建设绿美荥经，打造</w:t>
      </w:r>
      <w:r>
        <w:rPr>
          <w:rFonts w:hint="eastAsia" w:ascii="Times New Roman" w:hAnsi="Times New Roman" w:eastAsia="方正小标宋简体" w:cs="Times New Roman"/>
          <w:bCs/>
          <w:color w:val="auto"/>
          <w:sz w:val="30"/>
          <w:szCs w:val="30"/>
          <w:highlight w:val="none"/>
        </w:rPr>
        <w:t>宜居宜业乡村</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_Toc5172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53</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_Toc1940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第一节 </w:t>
      </w:r>
      <w:r>
        <w:rPr>
          <w:rFonts w:hint="eastAsia" w:ascii="Times New Roman" w:hAnsi="Times New Roman" w:cs="Times New Roman"/>
          <w:bCs/>
          <w:color w:val="auto"/>
          <w:sz w:val="30"/>
          <w:szCs w:val="30"/>
          <w:highlight w:val="none"/>
        </w:rPr>
        <w:t>加快推进村规划建设</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_Toc1940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53</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_Toc13531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第二节 </w:t>
      </w:r>
      <w:r>
        <w:rPr>
          <w:rFonts w:ascii="Times New Roman" w:hAnsi="Times New Roman" w:cs="Times New Roman"/>
          <w:bCs/>
          <w:color w:val="auto"/>
          <w:sz w:val="30"/>
          <w:szCs w:val="30"/>
          <w:highlight w:val="none"/>
        </w:rPr>
        <w:t>提升农村“五网”基础设施</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_Toc13531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53</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_Toc7300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第三节 </w:t>
      </w:r>
      <w:r>
        <w:rPr>
          <w:rFonts w:hint="eastAsia" w:ascii="Times New Roman" w:hAnsi="Times New Roman" w:cs="Times New Roman"/>
          <w:bCs/>
          <w:color w:val="auto"/>
          <w:sz w:val="30"/>
          <w:szCs w:val="30"/>
          <w:highlight w:val="none"/>
        </w:rPr>
        <w:t>推进城乡基本公共服务均等化</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_Toc7300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54</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_Toc17917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第四节 </w:t>
      </w:r>
      <w:r>
        <w:rPr>
          <w:rFonts w:ascii="Times New Roman" w:hAnsi="Times New Roman" w:cs="Times New Roman"/>
          <w:bCs/>
          <w:color w:val="auto"/>
          <w:sz w:val="30"/>
          <w:szCs w:val="30"/>
          <w:highlight w:val="none"/>
        </w:rPr>
        <w:t>开发利用乡村传统文化</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_Toc17917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55</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_Toc23400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第五节 </w:t>
      </w:r>
      <w:r>
        <w:rPr>
          <w:rFonts w:ascii="Times New Roman" w:hAnsi="Times New Roman" w:cs="Times New Roman"/>
          <w:bCs/>
          <w:color w:val="auto"/>
          <w:sz w:val="30"/>
          <w:szCs w:val="30"/>
          <w:highlight w:val="none"/>
        </w:rPr>
        <w:t>促进乡村治理现代化</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_Toc23400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55</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2"/>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_Toc3091 </w:instrText>
      </w:r>
      <w:r>
        <w:rPr>
          <w:rFonts w:ascii="Times New Roman" w:hAnsi="Times New Roman" w:cs="Times New Roman"/>
          <w:color w:val="auto"/>
          <w:sz w:val="30"/>
          <w:szCs w:val="30"/>
          <w:highlight w:val="none"/>
        </w:rPr>
        <w:fldChar w:fldCharType="separate"/>
      </w:r>
      <w:r>
        <w:rPr>
          <w:rFonts w:hint="default" w:ascii="Times New Roman" w:hAnsi="Times New Roman" w:eastAsia="方正小标宋简体" w:cs="Times New Roman"/>
          <w:bCs/>
          <w:color w:val="auto"/>
          <w:sz w:val="30"/>
          <w:szCs w:val="30"/>
          <w:highlight w:val="none"/>
        </w:rPr>
        <w:t xml:space="preserve">第七章 </w:t>
      </w:r>
      <w:r>
        <w:rPr>
          <w:rFonts w:ascii="Times New Roman" w:hAnsi="Times New Roman" w:eastAsia="方正小标宋简体" w:cs="Times New Roman"/>
          <w:bCs/>
          <w:color w:val="auto"/>
          <w:sz w:val="30"/>
          <w:szCs w:val="30"/>
          <w:highlight w:val="none"/>
        </w:rPr>
        <w:t>巩固脱贫成果同农业农村现代化有效衔接</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_Toc3091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57</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_Toc29694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第一节 </w:t>
      </w:r>
      <w:r>
        <w:rPr>
          <w:rFonts w:ascii="Times New Roman" w:hAnsi="Times New Roman" w:cs="Times New Roman"/>
          <w:bCs/>
          <w:color w:val="auto"/>
          <w:sz w:val="30"/>
          <w:szCs w:val="30"/>
          <w:highlight w:val="none"/>
        </w:rPr>
        <w:t>推进规划的有效衔接</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_Toc29694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57</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_Toc10341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第二节 </w:t>
      </w:r>
      <w:r>
        <w:rPr>
          <w:rFonts w:ascii="Times New Roman" w:hAnsi="Times New Roman" w:cs="Times New Roman"/>
          <w:bCs/>
          <w:color w:val="auto"/>
          <w:sz w:val="30"/>
          <w:szCs w:val="30"/>
          <w:highlight w:val="none"/>
        </w:rPr>
        <w:t>推进政策的有效衔接</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_Toc10341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57</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_Toc30954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第三节 </w:t>
      </w:r>
      <w:r>
        <w:rPr>
          <w:rFonts w:ascii="Times New Roman" w:hAnsi="Times New Roman" w:cs="Times New Roman"/>
          <w:bCs/>
          <w:color w:val="auto"/>
          <w:sz w:val="30"/>
          <w:szCs w:val="30"/>
          <w:highlight w:val="none"/>
        </w:rPr>
        <w:t>推进机制的有效衔接</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_Toc30954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58</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_Toc26521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第四节 </w:t>
      </w:r>
      <w:r>
        <w:rPr>
          <w:rFonts w:ascii="Times New Roman" w:hAnsi="Times New Roman" w:cs="Times New Roman"/>
          <w:bCs/>
          <w:color w:val="auto"/>
          <w:sz w:val="30"/>
          <w:szCs w:val="30"/>
          <w:highlight w:val="none"/>
        </w:rPr>
        <w:t>推进产业的有效衔接</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_Toc26521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58</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2"/>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_Toc16005 </w:instrText>
      </w:r>
      <w:r>
        <w:rPr>
          <w:rFonts w:ascii="Times New Roman" w:hAnsi="Times New Roman" w:cs="Times New Roman"/>
          <w:color w:val="auto"/>
          <w:sz w:val="30"/>
          <w:szCs w:val="30"/>
          <w:highlight w:val="none"/>
        </w:rPr>
        <w:fldChar w:fldCharType="separate"/>
      </w:r>
      <w:r>
        <w:rPr>
          <w:rFonts w:hint="default" w:ascii="Times New Roman" w:hAnsi="Times New Roman" w:eastAsia="方正小标宋简体" w:cs="Times New Roman"/>
          <w:bCs/>
          <w:color w:val="auto"/>
          <w:sz w:val="30"/>
          <w:szCs w:val="30"/>
          <w:highlight w:val="none"/>
        </w:rPr>
        <w:t xml:space="preserve">第八章 </w:t>
      </w:r>
      <w:r>
        <w:rPr>
          <w:rFonts w:ascii="Times New Roman" w:hAnsi="Times New Roman" w:eastAsia="方正小标宋简体" w:cs="Times New Roman"/>
          <w:bCs/>
          <w:color w:val="auto"/>
          <w:sz w:val="30"/>
          <w:szCs w:val="30"/>
          <w:highlight w:val="none"/>
        </w:rPr>
        <w:t>全面深化农业农村改革，增强农村发展活力</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_Toc16005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59</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_Toc17865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第一节 </w:t>
      </w:r>
      <w:r>
        <w:rPr>
          <w:rFonts w:ascii="Times New Roman" w:hAnsi="Times New Roman" w:cs="Times New Roman"/>
          <w:bCs/>
          <w:color w:val="auto"/>
          <w:sz w:val="30"/>
          <w:szCs w:val="30"/>
          <w:highlight w:val="none"/>
        </w:rPr>
        <w:t>深化农村土地制度改革</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_Toc17865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59</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_Toc27928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第二节 </w:t>
      </w:r>
      <w:r>
        <w:rPr>
          <w:rFonts w:ascii="Times New Roman" w:hAnsi="Times New Roman" w:cs="Times New Roman"/>
          <w:bCs/>
          <w:color w:val="auto"/>
          <w:sz w:val="30"/>
          <w:szCs w:val="30"/>
          <w:highlight w:val="none"/>
        </w:rPr>
        <w:t>发展壮大农村集体经济</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_Toc27928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59</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_Toc23622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第三节 </w:t>
      </w:r>
      <w:r>
        <w:rPr>
          <w:rFonts w:ascii="Times New Roman" w:hAnsi="Times New Roman" w:cs="Times New Roman"/>
          <w:bCs/>
          <w:color w:val="auto"/>
          <w:sz w:val="30"/>
          <w:szCs w:val="30"/>
          <w:highlight w:val="none"/>
        </w:rPr>
        <w:t>完善农村金融服务机制</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_Toc23622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60</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_Toc18970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第四节 </w:t>
      </w:r>
      <w:r>
        <w:rPr>
          <w:rFonts w:hint="default" w:ascii="Times New Roman" w:hAnsi="Times New Roman" w:cs="Times New Roman"/>
          <w:bCs/>
          <w:color w:val="auto"/>
          <w:sz w:val="30"/>
          <w:szCs w:val="30"/>
          <w:highlight w:val="none"/>
        </w:rPr>
        <w:t>健全城乡融合发展机制</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_Toc18970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60</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_Toc20081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第五节 </w:t>
      </w:r>
      <w:r>
        <w:rPr>
          <w:rFonts w:hint="default" w:ascii="Times New Roman" w:hAnsi="Times New Roman" w:cs="Times New Roman"/>
          <w:bCs/>
          <w:color w:val="auto"/>
          <w:sz w:val="30"/>
          <w:szCs w:val="30"/>
          <w:highlight w:val="none"/>
        </w:rPr>
        <w:t>构建农业对外开放新格局</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_Toc20081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61</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2"/>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_Toc6182 </w:instrText>
      </w:r>
      <w:r>
        <w:rPr>
          <w:rFonts w:ascii="Times New Roman" w:hAnsi="Times New Roman" w:cs="Times New Roman"/>
          <w:color w:val="auto"/>
          <w:sz w:val="30"/>
          <w:szCs w:val="30"/>
          <w:highlight w:val="none"/>
        </w:rPr>
        <w:fldChar w:fldCharType="separate"/>
      </w:r>
      <w:r>
        <w:rPr>
          <w:rFonts w:hint="default" w:ascii="Times New Roman" w:hAnsi="Times New Roman" w:eastAsia="方正小标宋简体" w:cs="Times New Roman"/>
          <w:bCs/>
          <w:color w:val="auto"/>
          <w:sz w:val="30"/>
          <w:szCs w:val="30"/>
          <w:highlight w:val="none"/>
        </w:rPr>
        <w:t xml:space="preserve">第九章 </w:t>
      </w:r>
      <w:r>
        <w:rPr>
          <w:rFonts w:ascii="Times New Roman" w:hAnsi="Times New Roman" w:eastAsia="方正小标宋简体" w:cs="Times New Roman"/>
          <w:bCs/>
          <w:color w:val="auto"/>
          <w:sz w:val="30"/>
          <w:szCs w:val="30"/>
          <w:highlight w:val="none"/>
        </w:rPr>
        <w:t>保障措施</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_Toc6182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62</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_Toc13900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第一节 </w:t>
      </w:r>
      <w:r>
        <w:rPr>
          <w:rFonts w:ascii="Times New Roman" w:hAnsi="Times New Roman" w:cs="Times New Roman"/>
          <w:bCs/>
          <w:color w:val="auto"/>
          <w:sz w:val="30"/>
          <w:szCs w:val="30"/>
          <w:highlight w:val="none"/>
        </w:rPr>
        <w:t>加强组织领导</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_Toc13900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62</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_Toc11195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第二节 </w:t>
      </w:r>
      <w:r>
        <w:rPr>
          <w:rFonts w:ascii="Times New Roman" w:hAnsi="Times New Roman" w:cs="Times New Roman"/>
          <w:bCs/>
          <w:color w:val="auto"/>
          <w:sz w:val="30"/>
          <w:szCs w:val="30"/>
          <w:highlight w:val="none"/>
        </w:rPr>
        <w:t>推进依法治农</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_Toc11195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62</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_Toc22199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第三节 </w:t>
      </w:r>
      <w:r>
        <w:rPr>
          <w:rFonts w:ascii="Times New Roman" w:hAnsi="Times New Roman" w:cs="Times New Roman"/>
          <w:bCs/>
          <w:color w:val="auto"/>
          <w:sz w:val="30"/>
          <w:szCs w:val="30"/>
          <w:highlight w:val="none"/>
        </w:rPr>
        <w:t>强化项目实施</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_Toc22199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63</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_Toc789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第四节 </w:t>
      </w:r>
      <w:r>
        <w:rPr>
          <w:rFonts w:ascii="Times New Roman" w:hAnsi="Times New Roman" w:cs="Times New Roman"/>
          <w:bCs/>
          <w:color w:val="auto"/>
          <w:sz w:val="30"/>
          <w:szCs w:val="30"/>
          <w:highlight w:val="none"/>
        </w:rPr>
        <w:t>推动规划执行</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_Toc789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64</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2"/>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_Toc24979 </w:instrText>
      </w:r>
      <w:r>
        <w:rPr>
          <w:rFonts w:ascii="Times New Roman" w:hAnsi="Times New Roman" w:cs="Times New Roman"/>
          <w:color w:val="auto"/>
          <w:sz w:val="30"/>
          <w:szCs w:val="30"/>
          <w:highlight w:val="none"/>
        </w:rPr>
        <w:fldChar w:fldCharType="separate"/>
      </w:r>
      <w:r>
        <w:rPr>
          <w:rFonts w:hint="default" w:ascii="Times New Roman" w:hAnsi="Times New Roman" w:eastAsia="方正小标宋简体" w:cs="Times New Roman"/>
          <w:bCs/>
          <w:color w:val="auto"/>
          <w:sz w:val="30"/>
          <w:szCs w:val="30"/>
          <w:highlight w:val="none"/>
        </w:rPr>
        <w:t xml:space="preserve">第十章 </w:t>
      </w:r>
      <w:r>
        <w:rPr>
          <w:rFonts w:hint="eastAsia" w:ascii="Times New Roman" w:hAnsi="Times New Roman" w:eastAsia="方正小标宋简体" w:cs="Times New Roman"/>
          <w:bCs/>
          <w:color w:val="auto"/>
          <w:sz w:val="30"/>
          <w:szCs w:val="30"/>
          <w:highlight w:val="none"/>
        </w:rPr>
        <w:t>环境影响评价</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_Toc24979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65</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_Toc16492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第一节 </w:t>
      </w:r>
      <w:r>
        <w:rPr>
          <w:rFonts w:hint="eastAsia" w:ascii="Times New Roman" w:hAnsi="Times New Roman" w:cs="Times New Roman"/>
          <w:bCs/>
          <w:color w:val="auto"/>
          <w:sz w:val="30"/>
          <w:szCs w:val="30"/>
          <w:highlight w:val="none"/>
        </w:rPr>
        <w:t>环境现状</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_Toc16492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65</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_Toc13191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第二节 </w:t>
      </w:r>
      <w:r>
        <w:rPr>
          <w:rFonts w:hint="eastAsia" w:ascii="Times New Roman" w:hAnsi="Times New Roman" w:cs="Times New Roman"/>
          <w:bCs/>
          <w:color w:val="auto"/>
          <w:sz w:val="30"/>
          <w:szCs w:val="30"/>
          <w:highlight w:val="none"/>
        </w:rPr>
        <w:t>环境影响分析与评价</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_Toc13191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66</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sz w:val="30"/>
          <w:szCs w:val="30"/>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_Toc16562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第三节 </w:t>
      </w:r>
      <w:r>
        <w:rPr>
          <w:rFonts w:hint="eastAsia" w:ascii="Times New Roman" w:hAnsi="Times New Roman" w:cs="Times New Roman"/>
          <w:bCs/>
          <w:color w:val="auto"/>
          <w:sz w:val="30"/>
          <w:szCs w:val="30"/>
          <w:highlight w:val="none"/>
        </w:rPr>
        <w:t>环境影响减缓措施</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_Toc16562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67</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480" w:lineRule="auto"/>
        <w:rPr>
          <w:rFonts w:ascii="Times New Roman" w:hAnsi="Times New Roman" w:cs="Times New Roman"/>
          <w:color w:val="auto"/>
          <w:highlight w:val="none"/>
        </w:rPr>
      </w:pP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HYPERLINK \l _Toc25966 </w:instrText>
      </w:r>
      <w:r>
        <w:rPr>
          <w:rFonts w:ascii="Times New Roman" w:hAnsi="Times New Roman" w:cs="Times New Roman"/>
          <w:color w:val="auto"/>
          <w:sz w:val="30"/>
          <w:szCs w:val="30"/>
          <w:highlight w:val="none"/>
        </w:rPr>
        <w:fldChar w:fldCharType="separate"/>
      </w:r>
      <w:r>
        <w:rPr>
          <w:rFonts w:hint="default" w:ascii="Times New Roman" w:hAnsi="Times New Roman" w:eastAsia="黑体" w:cs="Times New Roman"/>
          <w:bCs/>
          <w:color w:val="auto"/>
          <w:sz w:val="30"/>
          <w:szCs w:val="30"/>
          <w:highlight w:val="none"/>
        </w:rPr>
        <w:t xml:space="preserve">第四节 </w:t>
      </w:r>
      <w:r>
        <w:rPr>
          <w:rFonts w:hint="eastAsia" w:ascii="Times New Roman" w:hAnsi="Times New Roman" w:cs="Times New Roman"/>
          <w:bCs/>
          <w:color w:val="auto"/>
          <w:sz w:val="30"/>
          <w:szCs w:val="30"/>
          <w:highlight w:val="none"/>
        </w:rPr>
        <w:t>综合评述</w:t>
      </w:r>
      <w:r>
        <w:rPr>
          <w:rFonts w:ascii="Times New Roman" w:hAnsi="Times New Roman" w:cs="Times New Roman"/>
          <w:color w:val="auto"/>
          <w:sz w:val="30"/>
          <w:szCs w:val="30"/>
          <w:highlight w:val="none"/>
        </w:rPr>
        <w:tab/>
      </w:r>
      <w:r>
        <w:rPr>
          <w:rFonts w:ascii="Times New Roman" w:hAnsi="Times New Roman" w:cs="Times New Roman"/>
          <w:color w:val="auto"/>
          <w:sz w:val="30"/>
          <w:szCs w:val="30"/>
          <w:highlight w:val="none"/>
        </w:rPr>
        <w:fldChar w:fldCharType="begin"/>
      </w:r>
      <w:r>
        <w:rPr>
          <w:rFonts w:ascii="Times New Roman" w:hAnsi="Times New Roman" w:cs="Times New Roman"/>
          <w:color w:val="auto"/>
          <w:sz w:val="30"/>
          <w:szCs w:val="30"/>
          <w:highlight w:val="none"/>
        </w:rPr>
        <w:instrText xml:space="preserve"> PAGEREF _Toc25966 \h </w:instrText>
      </w:r>
      <w:r>
        <w:rPr>
          <w:rFonts w:ascii="Times New Roman" w:hAnsi="Times New Roman" w:cs="Times New Roman"/>
          <w:color w:val="auto"/>
          <w:sz w:val="30"/>
          <w:szCs w:val="30"/>
          <w:highlight w:val="none"/>
        </w:rPr>
        <w:fldChar w:fldCharType="separate"/>
      </w:r>
      <w:r>
        <w:rPr>
          <w:rFonts w:ascii="Times New Roman" w:hAnsi="Times New Roman" w:cs="Times New Roman"/>
          <w:color w:val="auto"/>
          <w:sz w:val="30"/>
          <w:szCs w:val="30"/>
          <w:highlight w:val="none"/>
        </w:rPr>
        <w:t>69</w:t>
      </w:r>
      <w:r>
        <w:rPr>
          <w:rFonts w:ascii="Times New Roman" w:hAnsi="Times New Roman" w:cs="Times New Roman"/>
          <w:color w:val="auto"/>
          <w:sz w:val="30"/>
          <w:szCs w:val="30"/>
          <w:highlight w:val="none"/>
        </w:rPr>
        <w:fldChar w:fldCharType="end"/>
      </w:r>
      <w:r>
        <w:rPr>
          <w:rFonts w:ascii="Times New Roman" w:hAnsi="Times New Roman" w:cs="Times New Roman"/>
          <w:color w:val="auto"/>
          <w:sz w:val="30"/>
          <w:szCs w:val="30"/>
          <w:highlight w:val="none"/>
        </w:rPr>
        <w:fldChar w:fldCharType="end"/>
      </w:r>
    </w:p>
    <w:p>
      <w:pPr>
        <w:pStyle w:val="14"/>
        <w:tabs>
          <w:tab w:val="right" w:leader="dot" w:pos="8312"/>
        </w:tabs>
        <w:spacing w:line="560" w:lineRule="exact"/>
        <w:ind w:firstLine="600" w:firstLineChars="200"/>
        <w:rPr>
          <w:rFonts w:ascii="Times New Roman" w:hAnsi="Times New Roman" w:cs="Times New Roman"/>
          <w:color w:val="auto"/>
          <w:sz w:val="32"/>
          <w:szCs w:val="32"/>
          <w:highlight w:val="none"/>
        </w:rPr>
        <w:sectPr>
          <w:footerReference r:id="rId5" w:type="default"/>
          <w:pgSz w:w="11906" w:h="16838"/>
          <w:pgMar w:top="1440" w:right="1797" w:bottom="1440" w:left="1797" w:header="720" w:footer="720" w:gutter="0"/>
          <w:pgNumType w:fmt="upperRoman" w:start="1"/>
          <w:cols w:space="720" w:num="1"/>
          <w:docGrid w:type="lines" w:linePitch="312" w:charSpace="0"/>
        </w:sectPr>
      </w:pPr>
      <w:r>
        <w:rPr>
          <w:rFonts w:ascii="Times New Roman" w:hAnsi="Times New Roman" w:cs="Times New Roman"/>
          <w:color w:val="auto"/>
          <w:sz w:val="30"/>
          <w:szCs w:val="30"/>
          <w:highlight w:val="none"/>
        </w:rPr>
        <w:fldChar w:fldCharType="end"/>
      </w:r>
    </w:p>
    <w:p>
      <w:pPr>
        <w:numPr>
          <w:ilvl w:val="0"/>
          <w:numId w:val="1"/>
        </w:numPr>
        <w:spacing w:line="620" w:lineRule="exact"/>
        <w:jc w:val="center"/>
        <w:outlineLvl w:val="0"/>
        <w:rPr>
          <w:rFonts w:ascii="Times New Roman" w:hAnsi="Times New Roman" w:eastAsia="方正小标宋简体" w:cs="Times New Roman"/>
          <w:b/>
          <w:bCs/>
          <w:color w:val="auto"/>
          <w:sz w:val="44"/>
          <w:szCs w:val="44"/>
          <w:highlight w:val="none"/>
        </w:rPr>
      </w:pPr>
      <w:bookmarkStart w:id="1" w:name="_Toc30749"/>
      <w:bookmarkStart w:id="2" w:name="_Toc7713"/>
      <w:bookmarkStart w:id="3" w:name="_Toc75731138"/>
      <w:r>
        <w:rPr>
          <w:rFonts w:ascii="Times New Roman" w:hAnsi="Times New Roman" w:eastAsia="方正小标宋简体" w:cs="Times New Roman"/>
          <w:b/>
          <w:bCs/>
          <w:color w:val="auto"/>
          <w:sz w:val="44"/>
          <w:szCs w:val="44"/>
          <w:highlight w:val="none"/>
        </w:rPr>
        <w:t>开启全面推进农业农村现代化新征程</w:t>
      </w:r>
      <w:bookmarkEnd w:id="1"/>
      <w:bookmarkEnd w:id="2"/>
      <w:bookmarkEnd w:id="3"/>
    </w:p>
    <w:p>
      <w:pPr>
        <w:pStyle w:val="2"/>
        <w:ind w:firstLine="640"/>
        <w:rPr>
          <w:rFonts w:ascii="Times New Roman" w:hAnsi="Times New Roman" w:eastAsia="仿宋" w:cs="Times New Roman"/>
          <w:bCs/>
          <w:color w:val="auto"/>
          <w:sz w:val="32"/>
          <w:szCs w:val="32"/>
          <w:highlight w:val="none"/>
        </w:rPr>
      </w:pPr>
    </w:p>
    <w:p>
      <w:pPr>
        <w:pStyle w:val="2"/>
        <w:ind w:firstLine="64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坚持用大历史观来看待农业、农村、农民问题，紧紧围绕把握新发展阶段、贯彻新发展理念、融入新发展格局、促进高质量发展，加快农业农村现代化，全面推进乡村振兴，促进农业高质高效、乡村宜居宜业、农民富裕富足。</w:t>
      </w:r>
    </w:p>
    <w:p>
      <w:pPr>
        <w:pStyle w:val="4"/>
        <w:keepLines w:val="0"/>
        <w:numPr>
          <w:ilvl w:val="1"/>
          <w:numId w:val="2"/>
        </w:numPr>
        <w:spacing w:before="312" w:beforeLines="100" w:after="312" w:afterLines="100" w:line="620" w:lineRule="exact"/>
        <w:jc w:val="center"/>
        <w:rPr>
          <w:rFonts w:ascii="Times New Roman" w:hAnsi="Times New Roman" w:cs="Times New Roman"/>
          <w:b/>
          <w:bCs/>
          <w:color w:val="auto"/>
          <w:highlight w:val="none"/>
        </w:rPr>
      </w:pPr>
      <w:bookmarkStart w:id="4" w:name="_Toc21809"/>
      <w:bookmarkStart w:id="5" w:name="_Toc58328001"/>
      <w:bookmarkStart w:id="6" w:name="_Toc48754113"/>
      <w:bookmarkStart w:id="7" w:name="_Toc2654"/>
      <w:bookmarkStart w:id="8" w:name="_Toc9362"/>
      <w:bookmarkStart w:id="9" w:name="_Toc75731139"/>
      <w:r>
        <w:rPr>
          <w:rFonts w:ascii="Times New Roman" w:hAnsi="Times New Roman" w:cs="Times New Roman"/>
          <w:b/>
          <w:bCs/>
          <w:color w:val="auto"/>
          <w:highlight w:val="none"/>
        </w:rPr>
        <w:t>发展</w:t>
      </w:r>
      <w:bookmarkEnd w:id="4"/>
      <w:bookmarkEnd w:id="5"/>
      <w:bookmarkEnd w:id="6"/>
      <w:r>
        <w:rPr>
          <w:rFonts w:ascii="Times New Roman" w:hAnsi="Times New Roman" w:cs="Times New Roman"/>
          <w:b/>
          <w:bCs/>
          <w:color w:val="auto"/>
          <w:highlight w:val="none"/>
        </w:rPr>
        <w:t>基础</w:t>
      </w:r>
      <w:bookmarkEnd w:id="7"/>
      <w:bookmarkEnd w:id="8"/>
      <w:bookmarkEnd w:id="9"/>
    </w:p>
    <w:p>
      <w:pPr>
        <w:adjustRightInd w:val="0"/>
        <w:snapToGrid w:val="0"/>
        <w:spacing w:line="560" w:lineRule="exact"/>
        <w:ind w:firstLine="642" w:firstLineChars="200"/>
        <w:rPr>
          <w:rFonts w:ascii="Times New Roman" w:hAnsi="Times New Roman" w:eastAsia="仿宋_GB2312" w:cs="Times New Roman"/>
          <w:bCs/>
          <w:color w:val="auto"/>
          <w:sz w:val="32"/>
          <w:szCs w:val="32"/>
          <w:highlight w:val="none"/>
        </w:rPr>
      </w:pPr>
      <w:bookmarkStart w:id="10" w:name="_Toc28444"/>
      <w:bookmarkStart w:id="11" w:name="_Toc12655"/>
      <w:bookmarkStart w:id="12" w:name="_Toc26516"/>
      <w:bookmarkStart w:id="13" w:name="_Toc59541154"/>
      <w:bookmarkStart w:id="14" w:name="_Toc58422370"/>
      <w:bookmarkStart w:id="15" w:name="_Toc58250594"/>
      <w:bookmarkStart w:id="16" w:name="_Toc59205118"/>
      <w:bookmarkStart w:id="17" w:name="_Toc58328002"/>
      <w:bookmarkStart w:id="18" w:name="_Toc58328078"/>
      <w:bookmarkStart w:id="19" w:name="_Toc58934248"/>
      <w:bookmarkStart w:id="20" w:name="_Toc22036"/>
      <w:r>
        <w:rPr>
          <w:rFonts w:ascii="Times New Roman" w:hAnsi="Times New Roman" w:eastAsia="仿宋_GB2312" w:cs="Times New Roman"/>
          <w:b/>
          <w:color w:val="auto"/>
          <w:sz w:val="32"/>
          <w:szCs w:val="32"/>
          <w:highlight w:val="none"/>
        </w:rPr>
        <w:t>农业综合生产能力显著增强</w:t>
      </w:r>
      <w:bookmarkEnd w:id="10"/>
      <w:bookmarkEnd w:id="11"/>
      <w:bookmarkEnd w:id="12"/>
      <w:bookmarkEnd w:id="13"/>
      <w:bookmarkEnd w:id="14"/>
      <w:bookmarkEnd w:id="15"/>
      <w:bookmarkEnd w:id="16"/>
      <w:bookmarkEnd w:id="17"/>
      <w:bookmarkEnd w:id="18"/>
      <w:bookmarkEnd w:id="19"/>
      <w:bookmarkEnd w:id="20"/>
      <w:r>
        <w:rPr>
          <w:rFonts w:ascii="Times New Roman" w:hAnsi="Times New Roman" w:eastAsia="仿宋_GB2312" w:cs="Times New Roman"/>
          <w:b/>
          <w:color w:val="auto"/>
          <w:sz w:val="32"/>
          <w:szCs w:val="32"/>
          <w:highlight w:val="none"/>
        </w:rPr>
        <w:t>。</w:t>
      </w:r>
      <w:r>
        <w:rPr>
          <w:rFonts w:ascii="Times New Roman" w:hAnsi="Times New Roman" w:eastAsia="仿宋_GB2312" w:cs="Times New Roman"/>
          <w:bCs/>
          <w:color w:val="auto"/>
          <w:sz w:val="32"/>
          <w:szCs w:val="32"/>
          <w:highlight w:val="none"/>
        </w:rPr>
        <w:t>“十三五”期间，荥经县委县政府积极响应国家、省市关于农业农村发展的决策部署，立足自身优势，提出走农业市场化、现代化、特色化道路，推动农业经济全面发展。2020年，农业总产值和农业增加值分别达22.99亿元和14.07亿元，较2015年末分别增长8.68亿、4.93亿，年均增长12.13%、10.79%。一二三产业比重为18.3：31.4：50.3。农作物良种覆盖率达97%以上，畜禽良种覆盖率达到90%以上。农业科技贡献率达到59%。</w:t>
      </w:r>
    </w:p>
    <w:p>
      <w:pPr>
        <w:adjustRightInd w:val="0"/>
        <w:snapToGrid w:val="0"/>
        <w:spacing w:line="560" w:lineRule="exact"/>
        <w:ind w:firstLine="642" w:firstLineChars="200"/>
        <w:rPr>
          <w:rFonts w:ascii="Times New Roman" w:hAnsi="Times New Roman" w:eastAsia="仿宋_GB2312" w:cs="Times New Roman"/>
          <w:bCs/>
          <w:color w:val="auto"/>
          <w:sz w:val="32"/>
          <w:szCs w:val="32"/>
          <w:highlight w:val="none"/>
        </w:rPr>
      </w:pPr>
      <w:bookmarkStart w:id="21" w:name="_Toc58250596"/>
      <w:bookmarkStart w:id="22" w:name="_Toc15957"/>
      <w:bookmarkStart w:id="23" w:name="_Toc58422371"/>
      <w:bookmarkStart w:id="24" w:name="_Toc59205119"/>
      <w:bookmarkStart w:id="25" w:name="_Toc31587"/>
      <w:bookmarkStart w:id="26" w:name="_Toc59541155"/>
      <w:bookmarkStart w:id="27" w:name="_Toc58934249"/>
      <w:bookmarkStart w:id="28" w:name="_Toc58328003"/>
      <w:bookmarkStart w:id="29" w:name="_Toc12017"/>
      <w:bookmarkStart w:id="30" w:name="_Toc58328079"/>
      <w:bookmarkStart w:id="31" w:name="_Toc29926"/>
      <w:r>
        <w:rPr>
          <w:rFonts w:ascii="Times New Roman" w:hAnsi="Times New Roman" w:eastAsia="仿宋_GB2312" w:cs="Times New Roman"/>
          <w:b/>
          <w:color w:val="auto"/>
          <w:sz w:val="32"/>
          <w:szCs w:val="32"/>
          <w:highlight w:val="none"/>
        </w:rPr>
        <w:t>农业优势特色产业</w:t>
      </w:r>
      <w:bookmarkEnd w:id="21"/>
      <w:r>
        <w:rPr>
          <w:rFonts w:ascii="Times New Roman" w:hAnsi="Times New Roman" w:eastAsia="仿宋_GB2312" w:cs="Times New Roman"/>
          <w:b/>
          <w:color w:val="auto"/>
          <w:sz w:val="32"/>
          <w:szCs w:val="32"/>
          <w:highlight w:val="none"/>
        </w:rPr>
        <w:t>优势凸显</w:t>
      </w:r>
      <w:bookmarkEnd w:id="22"/>
      <w:bookmarkEnd w:id="23"/>
      <w:bookmarkEnd w:id="24"/>
      <w:bookmarkEnd w:id="25"/>
      <w:bookmarkEnd w:id="26"/>
      <w:bookmarkEnd w:id="27"/>
      <w:bookmarkEnd w:id="28"/>
      <w:bookmarkEnd w:id="29"/>
      <w:bookmarkEnd w:id="30"/>
      <w:bookmarkEnd w:id="31"/>
      <w:r>
        <w:rPr>
          <w:rFonts w:ascii="Times New Roman" w:hAnsi="Times New Roman" w:eastAsia="仿宋_GB2312" w:cs="Times New Roman"/>
          <w:b/>
          <w:color w:val="auto"/>
          <w:sz w:val="32"/>
          <w:szCs w:val="32"/>
          <w:highlight w:val="none"/>
        </w:rPr>
        <w:t>。</w:t>
      </w:r>
      <w:r>
        <w:rPr>
          <w:rFonts w:ascii="Times New Roman" w:hAnsi="Times New Roman" w:eastAsia="仿宋_GB2312" w:cs="Times New Roman"/>
          <w:bCs/>
          <w:color w:val="auto"/>
          <w:sz w:val="32"/>
          <w:szCs w:val="32"/>
          <w:highlight w:val="none"/>
        </w:rPr>
        <w:t>“十三五”期间，荥经</w:t>
      </w:r>
      <w:r>
        <w:rPr>
          <w:rFonts w:ascii="Times New Roman" w:hAnsi="Times New Roman" w:eastAsia="仿宋_GB2312" w:cs="Times New Roman"/>
          <w:color w:val="auto"/>
          <w:sz w:val="32"/>
          <w:szCs w:val="32"/>
          <w:highlight w:val="none"/>
        </w:rPr>
        <w:t>县大力实施现代农业产业建设，持续壮大特色优势产业，</w:t>
      </w:r>
      <w:r>
        <w:rPr>
          <w:rFonts w:ascii="Times New Roman" w:hAnsi="Times New Roman" w:eastAsia="仿宋_GB2312" w:cs="Times New Roman"/>
          <w:bCs/>
          <w:color w:val="auto"/>
          <w:sz w:val="32"/>
          <w:szCs w:val="32"/>
          <w:highlight w:val="none"/>
        </w:rPr>
        <w:t>已初步建成林竹果蔬产业环线、茶产业环线和道地中药材产业环线三条产业环线</w:t>
      </w:r>
      <w:r>
        <w:rPr>
          <w:rFonts w:ascii="Times New Roman" w:hAnsi="Times New Roman" w:eastAsia="仿宋_GB2312" w:cs="Times New Roman"/>
          <w:color w:val="auto"/>
          <w:sz w:val="32"/>
          <w:szCs w:val="32"/>
          <w:highlight w:val="none"/>
        </w:rPr>
        <w:t>。在巩固粮油供给保障的基础上，累计发展高山生态茶11.8万亩，被列入全省茶产业重点县；发展林竹50万亩，获评全省首批竹林风景线建设先进单位和竹产业高质量发展重点培育县；发展10万亩中药材产业基地，扎实推进天麻、重楼、川黄柏等特色中药材规模化。</w:t>
      </w:r>
    </w:p>
    <w:p>
      <w:pPr>
        <w:adjustRightInd w:val="0"/>
        <w:snapToGrid w:val="0"/>
        <w:spacing w:line="560" w:lineRule="exact"/>
        <w:ind w:firstLine="642" w:firstLineChars="200"/>
        <w:rPr>
          <w:rFonts w:ascii="Times New Roman" w:hAnsi="Times New Roman" w:eastAsia="仿宋_GB2312" w:cs="Times New Roman"/>
          <w:bCs/>
          <w:color w:val="auto"/>
          <w:sz w:val="32"/>
          <w:szCs w:val="32"/>
          <w:highlight w:val="none"/>
        </w:rPr>
      </w:pPr>
      <w:bookmarkStart w:id="32" w:name="_Toc23730"/>
      <w:bookmarkStart w:id="33" w:name="_Toc59541156"/>
      <w:bookmarkStart w:id="34" w:name="_Toc58934250"/>
      <w:bookmarkStart w:id="35" w:name="_Toc58422372"/>
      <w:bookmarkStart w:id="36" w:name="_Toc59205120"/>
      <w:bookmarkStart w:id="37" w:name="_Toc31221"/>
      <w:bookmarkStart w:id="38" w:name="_Toc1467"/>
      <w:bookmarkStart w:id="39" w:name="_Toc11541"/>
      <w:r>
        <w:rPr>
          <w:rFonts w:ascii="Times New Roman" w:hAnsi="Times New Roman" w:eastAsia="仿宋_GB2312" w:cs="Times New Roman"/>
          <w:b/>
          <w:color w:val="auto"/>
          <w:sz w:val="32"/>
          <w:szCs w:val="32"/>
          <w:highlight w:val="none"/>
        </w:rPr>
        <w:t>农业基础设施建设日渐完善</w:t>
      </w:r>
      <w:bookmarkEnd w:id="32"/>
      <w:bookmarkEnd w:id="33"/>
      <w:bookmarkEnd w:id="34"/>
      <w:bookmarkEnd w:id="35"/>
      <w:bookmarkEnd w:id="36"/>
      <w:bookmarkEnd w:id="37"/>
      <w:bookmarkEnd w:id="38"/>
      <w:bookmarkEnd w:id="39"/>
      <w:r>
        <w:rPr>
          <w:rFonts w:ascii="Times New Roman" w:hAnsi="Times New Roman" w:eastAsia="仿宋_GB2312" w:cs="Times New Roman"/>
          <w:b/>
          <w:color w:val="auto"/>
          <w:sz w:val="32"/>
          <w:szCs w:val="32"/>
          <w:highlight w:val="none"/>
        </w:rPr>
        <w:t>。</w:t>
      </w:r>
      <w:r>
        <w:rPr>
          <w:rFonts w:ascii="Times New Roman" w:hAnsi="Times New Roman" w:eastAsia="仿宋_GB2312" w:cs="Times New Roman"/>
          <w:bCs/>
          <w:color w:val="auto"/>
          <w:sz w:val="32"/>
          <w:szCs w:val="32"/>
          <w:highlight w:val="none"/>
        </w:rPr>
        <w:t>“十三五”期间，荥经县通过幸福美丽新村示范县建设，全面提升了农田水利等农业基础设施建设。累计新改建产业环线道路40公里，高标准农田2.4万亩；有效灌溉面积较2015年末增长15%。农业机械化水平得到较大提高，农业机械总动力达到18.06万千瓦，主要农作物耕种收综合机械化水平达到38.5%。</w:t>
      </w:r>
    </w:p>
    <w:p>
      <w:pPr>
        <w:adjustRightInd w:val="0"/>
        <w:snapToGrid w:val="0"/>
        <w:spacing w:line="560" w:lineRule="exact"/>
        <w:ind w:firstLine="642" w:firstLineChars="200"/>
        <w:rPr>
          <w:rFonts w:ascii="Times New Roman" w:hAnsi="Times New Roman" w:eastAsia="仿宋_GB2312" w:cs="Times New Roman"/>
          <w:bCs/>
          <w:color w:val="auto"/>
          <w:sz w:val="32"/>
          <w:szCs w:val="32"/>
          <w:highlight w:val="none"/>
        </w:rPr>
      </w:pPr>
      <w:bookmarkStart w:id="40" w:name="_Toc27120"/>
      <w:bookmarkStart w:id="41" w:name="_Toc59541157"/>
      <w:bookmarkStart w:id="42" w:name="_Toc13414"/>
      <w:bookmarkStart w:id="43" w:name="_Toc59205121"/>
      <w:bookmarkStart w:id="44" w:name="_Toc58934251"/>
      <w:bookmarkStart w:id="45" w:name="_Toc58422373"/>
      <w:bookmarkStart w:id="46" w:name="_Toc25902"/>
      <w:bookmarkStart w:id="47" w:name="_Toc13114"/>
      <w:r>
        <w:rPr>
          <w:rFonts w:ascii="Times New Roman" w:hAnsi="Times New Roman" w:eastAsia="仿宋_GB2312" w:cs="Times New Roman"/>
          <w:b/>
          <w:color w:val="auto"/>
          <w:sz w:val="32"/>
          <w:szCs w:val="32"/>
          <w:highlight w:val="none"/>
        </w:rPr>
        <w:t>农业绿色质量发展成效显著</w:t>
      </w:r>
      <w:bookmarkEnd w:id="40"/>
      <w:bookmarkEnd w:id="41"/>
      <w:bookmarkEnd w:id="42"/>
      <w:bookmarkEnd w:id="43"/>
      <w:bookmarkEnd w:id="44"/>
      <w:bookmarkEnd w:id="45"/>
      <w:bookmarkEnd w:id="46"/>
      <w:bookmarkEnd w:id="47"/>
      <w:r>
        <w:rPr>
          <w:rFonts w:ascii="Times New Roman" w:hAnsi="Times New Roman" w:eastAsia="仿宋_GB2312" w:cs="Times New Roman"/>
          <w:b/>
          <w:color w:val="auto"/>
          <w:sz w:val="32"/>
          <w:szCs w:val="32"/>
          <w:highlight w:val="none"/>
        </w:rPr>
        <w:t>。</w:t>
      </w:r>
      <w:r>
        <w:rPr>
          <w:rFonts w:ascii="Times New Roman" w:hAnsi="Times New Roman" w:eastAsia="仿宋_GB2312" w:cs="Times New Roman"/>
          <w:bCs/>
          <w:color w:val="auto"/>
          <w:sz w:val="32"/>
          <w:szCs w:val="32"/>
          <w:highlight w:val="none"/>
        </w:rPr>
        <w:t>“十三五”期间，荥经县始终坚持生态优先、绿色发展理念，成功创建四川省农产品质量安全监管示范县，获批全省首个整县推进全国农产品全程质量控制技术体系试点县。全县有效期内“三品一标”农产品数量达</w:t>
      </w:r>
      <w:r>
        <w:rPr>
          <w:rFonts w:hint="eastAsia" w:ascii="Times New Roman" w:hAnsi="Times New Roman" w:eastAsia="仿宋_GB2312" w:cs="Times New Roman"/>
          <w:bCs/>
          <w:color w:val="auto"/>
          <w:sz w:val="32"/>
          <w:szCs w:val="32"/>
          <w:highlight w:val="none"/>
          <w:lang w:val="en-US" w:eastAsia="zh-CN"/>
        </w:rPr>
        <w:t>46</w:t>
      </w:r>
      <w:r>
        <w:rPr>
          <w:rFonts w:ascii="Times New Roman" w:hAnsi="Times New Roman" w:eastAsia="仿宋_GB2312" w:cs="Times New Roman"/>
          <w:bCs/>
          <w:color w:val="auto"/>
          <w:sz w:val="32"/>
          <w:szCs w:val="32"/>
          <w:highlight w:val="none"/>
        </w:rPr>
        <w:t>个，其中绿色（有机）食品</w:t>
      </w:r>
      <w:r>
        <w:rPr>
          <w:rFonts w:hint="eastAsia" w:ascii="Times New Roman" w:hAnsi="Times New Roman" w:eastAsia="仿宋_GB2312" w:cs="Times New Roman"/>
          <w:bCs/>
          <w:color w:val="auto"/>
          <w:sz w:val="32"/>
          <w:szCs w:val="32"/>
          <w:highlight w:val="none"/>
          <w:lang w:val="en-US" w:eastAsia="zh-CN"/>
        </w:rPr>
        <w:t>44</w:t>
      </w:r>
      <w:r>
        <w:rPr>
          <w:rFonts w:ascii="Times New Roman" w:hAnsi="Times New Roman" w:eastAsia="仿宋_GB2312" w:cs="Times New Roman"/>
          <w:bCs/>
          <w:color w:val="auto"/>
          <w:sz w:val="32"/>
          <w:szCs w:val="32"/>
          <w:highlight w:val="none"/>
        </w:rPr>
        <w:t>个，地理标志农产品2个，绿色食品和有机食品认证基地分别达3.04万亩、1.42万亩。</w:t>
      </w:r>
    </w:p>
    <w:p>
      <w:pPr>
        <w:adjustRightInd w:val="0"/>
        <w:snapToGrid w:val="0"/>
        <w:spacing w:line="560" w:lineRule="exact"/>
        <w:ind w:firstLine="642" w:firstLineChars="200"/>
        <w:rPr>
          <w:rFonts w:ascii="Times New Roman" w:hAnsi="Times New Roman" w:eastAsia="仿宋_GB2312" w:cs="Times New Roman"/>
          <w:bCs/>
          <w:color w:val="auto"/>
          <w:szCs w:val="32"/>
          <w:highlight w:val="none"/>
        </w:rPr>
      </w:pPr>
      <w:bookmarkStart w:id="48" w:name="_Toc58250597"/>
      <w:bookmarkStart w:id="49" w:name="_Toc7591"/>
      <w:bookmarkStart w:id="50" w:name="_Toc8866"/>
      <w:bookmarkStart w:id="51" w:name="_Toc58934252"/>
      <w:bookmarkStart w:id="52" w:name="_Toc58422374"/>
      <w:bookmarkStart w:id="53" w:name="_Toc58328004"/>
      <w:bookmarkStart w:id="54" w:name="_Toc8968"/>
      <w:bookmarkStart w:id="55" w:name="_Toc59205122"/>
      <w:bookmarkStart w:id="56" w:name="_Toc58328080"/>
      <w:bookmarkStart w:id="57" w:name="_Toc59541158"/>
      <w:bookmarkStart w:id="58" w:name="_Toc11159"/>
      <w:r>
        <w:rPr>
          <w:rFonts w:ascii="Times New Roman" w:hAnsi="Times New Roman" w:eastAsia="仿宋_GB2312" w:cs="Times New Roman"/>
          <w:b/>
          <w:color w:val="auto"/>
          <w:sz w:val="32"/>
          <w:szCs w:val="32"/>
          <w:highlight w:val="none"/>
        </w:rPr>
        <w:t>农业产业化经营发展</w:t>
      </w:r>
      <w:bookmarkEnd w:id="48"/>
      <w:r>
        <w:rPr>
          <w:rFonts w:ascii="Times New Roman" w:hAnsi="Times New Roman" w:eastAsia="仿宋_GB2312" w:cs="Times New Roman"/>
          <w:b/>
          <w:color w:val="auto"/>
          <w:sz w:val="32"/>
          <w:szCs w:val="32"/>
          <w:highlight w:val="none"/>
        </w:rPr>
        <w:t>加快</w:t>
      </w:r>
      <w:bookmarkEnd w:id="49"/>
      <w:bookmarkEnd w:id="50"/>
      <w:bookmarkEnd w:id="51"/>
      <w:bookmarkEnd w:id="52"/>
      <w:bookmarkEnd w:id="53"/>
      <w:bookmarkEnd w:id="54"/>
      <w:bookmarkEnd w:id="55"/>
      <w:bookmarkEnd w:id="56"/>
      <w:bookmarkEnd w:id="57"/>
      <w:bookmarkEnd w:id="58"/>
      <w:r>
        <w:rPr>
          <w:rFonts w:ascii="Times New Roman" w:hAnsi="Times New Roman" w:eastAsia="仿宋_GB2312" w:cs="Times New Roman"/>
          <w:b/>
          <w:color w:val="auto"/>
          <w:sz w:val="32"/>
          <w:szCs w:val="32"/>
          <w:highlight w:val="none"/>
        </w:rPr>
        <w:t>。</w:t>
      </w:r>
      <w:r>
        <w:rPr>
          <w:rFonts w:ascii="Times New Roman" w:hAnsi="Times New Roman" w:eastAsia="仿宋_GB2312" w:cs="Times New Roman"/>
          <w:bCs/>
          <w:color w:val="auto"/>
          <w:sz w:val="32"/>
          <w:szCs w:val="32"/>
          <w:highlight w:val="none"/>
        </w:rPr>
        <w:t>“十三五”期间，荥经县把培育新型农业经营主体作为发展现代农业的重要内容，积极实施新型农业经营主体培育计划。到“十三五”末，全县拥有省级龙头企业3家、市级龙头企业8家，拥有省级示范社3家、市级示范社13家，省级示范场1家、市级以上示范场10家，被农业农村部确定为2020年全国第一批农产品全程质量控制技术体系试点经营主体31家。</w:t>
      </w:r>
    </w:p>
    <w:p>
      <w:pPr>
        <w:adjustRightInd w:val="0"/>
        <w:snapToGrid w:val="0"/>
        <w:spacing w:line="560" w:lineRule="exact"/>
        <w:ind w:firstLine="642" w:firstLineChars="200"/>
        <w:rPr>
          <w:rFonts w:ascii="Times New Roman" w:hAnsi="Times New Roman" w:eastAsia="仿宋_GB2312" w:cs="Times New Roman"/>
          <w:bCs/>
          <w:color w:val="auto"/>
          <w:sz w:val="32"/>
          <w:szCs w:val="32"/>
          <w:highlight w:val="none"/>
        </w:rPr>
      </w:pPr>
      <w:bookmarkStart w:id="59" w:name="_Toc30678"/>
      <w:bookmarkStart w:id="60" w:name="_Toc58328005"/>
      <w:bookmarkStart w:id="61" w:name="_Toc32250"/>
      <w:bookmarkStart w:id="62" w:name="_Toc23589"/>
      <w:bookmarkStart w:id="63" w:name="_Toc58422375"/>
      <w:bookmarkStart w:id="64" w:name="_Toc58250598"/>
      <w:bookmarkStart w:id="65" w:name="_Toc58934253"/>
      <w:bookmarkStart w:id="66" w:name="_Toc59205123"/>
      <w:bookmarkStart w:id="67" w:name="_Toc58328081"/>
      <w:bookmarkStart w:id="68" w:name="_Toc59541159"/>
      <w:bookmarkStart w:id="69" w:name="_Toc15226"/>
      <w:r>
        <w:rPr>
          <w:rFonts w:ascii="Times New Roman" w:hAnsi="Times New Roman" w:eastAsia="仿宋_GB2312" w:cs="Times New Roman"/>
          <w:b/>
          <w:color w:val="auto"/>
          <w:sz w:val="32"/>
          <w:szCs w:val="32"/>
          <w:highlight w:val="none"/>
        </w:rPr>
        <w:t>现代农业园区建设深入推进</w:t>
      </w:r>
      <w:bookmarkEnd w:id="59"/>
      <w:bookmarkEnd w:id="60"/>
      <w:bookmarkEnd w:id="61"/>
      <w:bookmarkEnd w:id="62"/>
      <w:bookmarkEnd w:id="63"/>
      <w:bookmarkEnd w:id="64"/>
      <w:bookmarkEnd w:id="65"/>
      <w:bookmarkEnd w:id="66"/>
      <w:bookmarkEnd w:id="67"/>
      <w:bookmarkEnd w:id="68"/>
      <w:bookmarkEnd w:id="69"/>
      <w:r>
        <w:rPr>
          <w:rFonts w:ascii="Times New Roman" w:hAnsi="Times New Roman" w:eastAsia="仿宋_GB2312" w:cs="Times New Roman"/>
          <w:b/>
          <w:color w:val="auto"/>
          <w:sz w:val="32"/>
          <w:szCs w:val="32"/>
          <w:highlight w:val="none"/>
        </w:rPr>
        <w:t>。</w:t>
      </w:r>
      <w:r>
        <w:rPr>
          <w:rFonts w:ascii="Times New Roman" w:hAnsi="Times New Roman" w:eastAsia="仿宋_GB2312" w:cs="Times New Roman"/>
          <w:bCs/>
          <w:color w:val="auto"/>
          <w:sz w:val="32"/>
          <w:szCs w:val="32"/>
          <w:highlight w:val="none"/>
        </w:rPr>
        <w:t>“十三五”期间，荥经县依托自然条件和交通格局，布局特色优势产业，对标《四川省现代农业园区认定评分标准》，从基地建设、设施装备、产品加工、农业新业态、品牌建设、科技支撑、组织方式和保障措施八个方面建设现代农业产业园区，着力发展绿色（有机）现代农业，初步形成了茶叶、中药材、林竹果蔬三条产环线及竹产业现代农业园区、中药材现代特色农业园区、农产品深加工现代农业园区、茶产业现代农业园区“三线四园”的产业发展格局。</w:t>
      </w:r>
    </w:p>
    <w:p>
      <w:pPr>
        <w:adjustRightInd w:val="0"/>
        <w:snapToGrid w:val="0"/>
        <w:spacing w:line="560" w:lineRule="exact"/>
        <w:ind w:firstLine="642" w:firstLineChars="200"/>
        <w:rPr>
          <w:rFonts w:ascii="Times New Roman" w:hAnsi="Times New Roman" w:eastAsia="仿宋_GB2312" w:cs="Times New Roman"/>
          <w:bCs/>
          <w:color w:val="auto"/>
          <w:sz w:val="32"/>
          <w:szCs w:val="32"/>
          <w:highlight w:val="none"/>
        </w:rPr>
      </w:pPr>
      <w:bookmarkStart w:id="70" w:name="_Toc24824"/>
      <w:bookmarkStart w:id="71" w:name="_Toc59205125"/>
      <w:bookmarkStart w:id="72" w:name="_Toc58250599"/>
      <w:bookmarkStart w:id="73" w:name="_Toc5811"/>
      <w:bookmarkStart w:id="74" w:name="_Toc14777"/>
      <w:bookmarkStart w:id="75" w:name="_Toc58422377"/>
      <w:bookmarkStart w:id="76" w:name="_Toc25754"/>
      <w:bookmarkStart w:id="77" w:name="_Toc58328006"/>
      <w:bookmarkStart w:id="78" w:name="_Toc58328082"/>
      <w:bookmarkStart w:id="79" w:name="_Toc58934255"/>
      <w:bookmarkStart w:id="80" w:name="_Toc59541161"/>
      <w:r>
        <w:rPr>
          <w:rFonts w:ascii="Times New Roman" w:hAnsi="Times New Roman" w:eastAsia="仿宋_GB2312" w:cs="Times New Roman"/>
          <w:b/>
          <w:color w:val="auto"/>
          <w:sz w:val="32"/>
          <w:szCs w:val="32"/>
          <w:highlight w:val="none"/>
        </w:rPr>
        <w:t>幸福美丽新村建设成效明显</w:t>
      </w:r>
      <w:bookmarkEnd w:id="70"/>
      <w:bookmarkEnd w:id="71"/>
      <w:bookmarkEnd w:id="72"/>
      <w:bookmarkEnd w:id="73"/>
      <w:bookmarkEnd w:id="74"/>
      <w:bookmarkEnd w:id="75"/>
      <w:bookmarkEnd w:id="76"/>
      <w:bookmarkEnd w:id="77"/>
      <w:bookmarkEnd w:id="78"/>
      <w:bookmarkEnd w:id="79"/>
      <w:bookmarkEnd w:id="80"/>
      <w:r>
        <w:rPr>
          <w:rFonts w:ascii="Times New Roman" w:hAnsi="Times New Roman" w:eastAsia="仿宋_GB2312" w:cs="Times New Roman"/>
          <w:b/>
          <w:color w:val="auto"/>
          <w:sz w:val="32"/>
          <w:szCs w:val="32"/>
          <w:highlight w:val="none"/>
        </w:rPr>
        <w:t>。</w:t>
      </w:r>
      <w:r>
        <w:rPr>
          <w:rFonts w:ascii="Times New Roman" w:hAnsi="Times New Roman" w:eastAsia="仿宋_GB2312" w:cs="Times New Roman"/>
          <w:bCs/>
          <w:color w:val="auto"/>
          <w:sz w:val="32"/>
          <w:szCs w:val="32"/>
          <w:highlight w:val="none"/>
        </w:rPr>
        <w:t>“十三五”期间，荥经县大力实施农村人居环境整治、农村绿化美化、农业生态环境治理和文化传承行动等项目，乡村治理和乡风文明水平持续提升。全县实现全覆盖推广垃圾分类处理，建成聚居点污水处理设施83个，农村卫生厕所普及率达81%。已建成幸福美丽新村87个、绿美新村41个、“美丽四川·宜居乡村”达标村101个，创建实施乡村振兴战略工作示范村省级1个、市级5个，发展村、双林村等8个村入选“国家森林乡村”。</w:t>
      </w:r>
    </w:p>
    <w:p>
      <w:pPr>
        <w:adjustRightInd w:val="0"/>
        <w:snapToGrid w:val="0"/>
        <w:spacing w:line="560" w:lineRule="exact"/>
        <w:ind w:firstLine="642" w:firstLineChars="200"/>
        <w:rPr>
          <w:rFonts w:ascii="Times New Roman" w:hAnsi="Times New Roman" w:eastAsia="仿宋_GB2312" w:cs="Times New Roman"/>
          <w:b/>
          <w:color w:val="auto"/>
          <w:sz w:val="32"/>
          <w:szCs w:val="32"/>
          <w:highlight w:val="none"/>
        </w:rPr>
      </w:pPr>
      <w:r>
        <w:rPr>
          <w:rFonts w:ascii="Times New Roman" w:hAnsi="Times New Roman" w:eastAsia="仿宋_GB2312" w:cs="Times New Roman"/>
          <w:b/>
          <w:color w:val="auto"/>
          <w:sz w:val="32"/>
          <w:szCs w:val="32"/>
          <w:highlight w:val="none"/>
        </w:rPr>
        <w:t>农村生态文明建设水平提升。</w:t>
      </w:r>
      <w:r>
        <w:rPr>
          <w:rFonts w:ascii="Times New Roman" w:hAnsi="Times New Roman" w:eastAsia="仿宋_GB2312" w:cs="Times New Roman"/>
          <w:bCs/>
          <w:color w:val="auto"/>
          <w:sz w:val="32"/>
          <w:szCs w:val="32"/>
          <w:highlight w:val="none"/>
        </w:rPr>
        <w:t>“十三五”期间，荥经县积极开展农业面源污染综合治理，强化土壤污染、水土流失等治理和修复。全县森林覆盖率达80.3%，持续位居全省第一。</w:t>
      </w:r>
      <w:r>
        <w:rPr>
          <w:rFonts w:hint="eastAsia" w:ascii="Times New Roman" w:hAnsi="Times New Roman" w:eastAsia="仿宋_GB2312" w:cs="Times New Roman"/>
          <w:bCs/>
          <w:color w:val="auto"/>
          <w:sz w:val="32"/>
          <w:szCs w:val="32"/>
          <w:highlight w:val="none"/>
          <w:lang w:val="en-US" w:eastAsia="zh-CN"/>
        </w:rPr>
        <w:t xml:space="preserve"> </w:t>
      </w:r>
      <w:r>
        <w:rPr>
          <w:rFonts w:ascii="Times New Roman" w:hAnsi="Times New Roman" w:eastAsia="仿宋_GB2312" w:cs="Times New Roman"/>
          <w:bCs/>
          <w:color w:val="auto"/>
          <w:sz w:val="32"/>
          <w:szCs w:val="32"/>
          <w:highlight w:val="none"/>
        </w:rPr>
        <w:t>农作物秸秆综合利用率达到9</w:t>
      </w:r>
      <w:r>
        <w:rPr>
          <w:rFonts w:hint="eastAsia" w:ascii="Times New Roman" w:hAnsi="Times New Roman" w:eastAsia="仿宋_GB2312" w:cs="Times New Roman"/>
          <w:bCs/>
          <w:color w:val="auto"/>
          <w:sz w:val="32"/>
          <w:szCs w:val="32"/>
          <w:highlight w:val="none"/>
          <w:lang w:val="en-US" w:eastAsia="zh-CN"/>
        </w:rPr>
        <w:t>1</w:t>
      </w:r>
      <w:r>
        <w:rPr>
          <w:rFonts w:ascii="Times New Roman" w:hAnsi="Times New Roman" w:eastAsia="仿宋_GB2312" w:cs="Times New Roman"/>
          <w:bCs/>
          <w:color w:val="auto"/>
          <w:sz w:val="32"/>
          <w:szCs w:val="32"/>
          <w:highlight w:val="none"/>
        </w:rPr>
        <w:t>%，培育建立“收”“储”“运”“用”示范点3个以上；废旧农膜回收利用率达到</w:t>
      </w:r>
      <w:r>
        <w:rPr>
          <w:rFonts w:hint="eastAsia" w:ascii="Times New Roman" w:hAnsi="Times New Roman" w:eastAsia="仿宋_GB2312" w:cs="Times New Roman"/>
          <w:bCs/>
          <w:color w:val="auto"/>
          <w:sz w:val="32"/>
          <w:szCs w:val="32"/>
          <w:highlight w:val="none"/>
          <w:lang w:val="en-US" w:eastAsia="zh-CN"/>
        </w:rPr>
        <w:t>84</w:t>
      </w:r>
      <w:r>
        <w:rPr>
          <w:rFonts w:ascii="Times New Roman" w:hAnsi="Times New Roman" w:eastAsia="仿宋_GB2312" w:cs="Times New Roman"/>
          <w:bCs/>
          <w:color w:val="auto"/>
          <w:sz w:val="32"/>
          <w:szCs w:val="32"/>
          <w:highlight w:val="none"/>
        </w:rPr>
        <w:t>%，畜禽粪污资源化利用率达到</w:t>
      </w:r>
      <w:r>
        <w:rPr>
          <w:rFonts w:hint="eastAsia" w:ascii="Times New Roman" w:hAnsi="Times New Roman" w:eastAsia="仿宋_GB2312" w:cs="Times New Roman"/>
          <w:bCs/>
          <w:color w:val="auto"/>
          <w:sz w:val="32"/>
          <w:szCs w:val="32"/>
          <w:highlight w:val="none"/>
          <w:lang w:val="en-US" w:eastAsia="zh-CN"/>
        </w:rPr>
        <w:t>82.94</w:t>
      </w:r>
      <w:r>
        <w:rPr>
          <w:rFonts w:ascii="Times New Roman" w:hAnsi="Times New Roman" w:eastAsia="仿宋_GB2312" w:cs="Times New Roman"/>
          <w:bCs/>
          <w:color w:val="auto"/>
          <w:sz w:val="32"/>
          <w:szCs w:val="32"/>
          <w:highlight w:val="none"/>
        </w:rPr>
        <w:t>%以上。</w:t>
      </w:r>
    </w:p>
    <w:p>
      <w:pPr>
        <w:adjustRightInd w:val="0"/>
        <w:snapToGrid w:val="0"/>
        <w:spacing w:line="560" w:lineRule="exact"/>
        <w:ind w:firstLine="642" w:firstLineChars="200"/>
        <w:rPr>
          <w:rFonts w:ascii="Times New Roman" w:hAnsi="Times New Roman" w:eastAsia="仿宋_GB2312" w:cs="Times New Roman"/>
          <w:bCs/>
          <w:color w:val="auto"/>
          <w:sz w:val="32"/>
          <w:szCs w:val="32"/>
          <w:highlight w:val="none"/>
        </w:rPr>
      </w:pPr>
      <w:bookmarkStart w:id="81" w:name="_Toc58250600"/>
      <w:bookmarkStart w:id="82" w:name="_Toc16754"/>
      <w:bookmarkStart w:id="83" w:name="_Toc5209"/>
      <w:bookmarkStart w:id="84" w:name="_Toc58422378"/>
      <w:bookmarkStart w:id="85" w:name="_Toc59205126"/>
      <w:bookmarkStart w:id="86" w:name="_Toc11919"/>
      <w:bookmarkStart w:id="87" w:name="_Toc21060"/>
      <w:bookmarkStart w:id="88" w:name="_Toc58934256"/>
      <w:bookmarkStart w:id="89" w:name="_Toc59541162"/>
      <w:bookmarkStart w:id="90" w:name="_Toc58328007"/>
      <w:bookmarkStart w:id="91" w:name="_Toc58328083"/>
      <w:r>
        <w:rPr>
          <w:rFonts w:ascii="Times New Roman" w:hAnsi="Times New Roman" w:eastAsia="仿宋_GB2312" w:cs="Times New Roman"/>
          <w:b/>
          <w:color w:val="auto"/>
          <w:sz w:val="32"/>
          <w:szCs w:val="32"/>
          <w:highlight w:val="none"/>
        </w:rPr>
        <w:t>脱贫攻坚工作取得显著成效</w:t>
      </w:r>
      <w:bookmarkEnd w:id="81"/>
      <w:bookmarkEnd w:id="82"/>
      <w:bookmarkEnd w:id="83"/>
      <w:bookmarkEnd w:id="84"/>
      <w:bookmarkEnd w:id="85"/>
      <w:bookmarkEnd w:id="86"/>
      <w:bookmarkEnd w:id="87"/>
      <w:bookmarkEnd w:id="88"/>
      <w:bookmarkEnd w:id="89"/>
      <w:bookmarkEnd w:id="90"/>
      <w:bookmarkEnd w:id="91"/>
      <w:r>
        <w:rPr>
          <w:rFonts w:ascii="Times New Roman" w:hAnsi="Times New Roman" w:eastAsia="仿宋_GB2312" w:cs="Times New Roman"/>
          <w:b/>
          <w:color w:val="auto"/>
          <w:sz w:val="32"/>
          <w:szCs w:val="32"/>
          <w:highlight w:val="none"/>
        </w:rPr>
        <w:t>。</w:t>
      </w:r>
      <w:r>
        <w:rPr>
          <w:rFonts w:ascii="Times New Roman" w:hAnsi="Times New Roman" w:eastAsia="仿宋_GB2312" w:cs="Times New Roman"/>
          <w:bCs/>
          <w:color w:val="auto"/>
          <w:sz w:val="32"/>
          <w:szCs w:val="32"/>
          <w:highlight w:val="none"/>
        </w:rPr>
        <w:t>“十三五”期间，荥经县围绕“四年集中攻坚，两年巩固提高”总体要求，聚焦“两不愁、三保障、四个好”，按照“六个精准”要求，科学规划、压实责任、精锐出战、精准施策，脱贫攻坚取得决定性成就。全县31个贫困村和2925户7421名贫困人口已全部退出脱贫，全面完成脱贫任务。贫困群众持续增收，50%已脱贫贫困群众人均收入超过7000元，5000元及以上人数达到96%。生产生活条件极大改善，31个贫困村村村通硬化路、通电通网络、有文化室卫生室、有安全饮用水。</w:t>
      </w:r>
    </w:p>
    <w:p>
      <w:pPr>
        <w:adjustRightInd w:val="0"/>
        <w:snapToGrid w:val="0"/>
        <w:spacing w:line="560" w:lineRule="exact"/>
        <w:ind w:firstLine="642" w:firstLineChars="200"/>
        <w:rPr>
          <w:rFonts w:ascii="Times New Roman" w:hAnsi="Times New Roman" w:eastAsia="仿宋_GB2312" w:cs="Times New Roman"/>
          <w:bCs/>
          <w:color w:val="auto"/>
          <w:sz w:val="32"/>
          <w:szCs w:val="32"/>
          <w:highlight w:val="none"/>
        </w:rPr>
      </w:pPr>
      <w:bookmarkStart w:id="92" w:name="_Toc58250601"/>
      <w:bookmarkStart w:id="93" w:name="_Toc28378"/>
      <w:bookmarkStart w:id="94" w:name="_Toc58328084"/>
      <w:bookmarkStart w:id="95" w:name="_Toc58934257"/>
      <w:bookmarkStart w:id="96" w:name="_Toc59205127"/>
      <w:bookmarkStart w:id="97" w:name="_Toc58328008"/>
      <w:bookmarkStart w:id="98" w:name="_Toc59541163"/>
      <w:bookmarkStart w:id="99" w:name="_Toc58422379"/>
      <w:bookmarkStart w:id="100" w:name="_Toc16354"/>
      <w:bookmarkStart w:id="101" w:name="_Toc21236"/>
      <w:bookmarkStart w:id="102" w:name="_Toc10290"/>
      <w:r>
        <w:rPr>
          <w:rFonts w:ascii="Times New Roman" w:hAnsi="Times New Roman" w:eastAsia="仿宋_GB2312" w:cs="Times New Roman"/>
          <w:b/>
          <w:color w:val="auto"/>
          <w:sz w:val="32"/>
          <w:szCs w:val="32"/>
          <w:highlight w:val="none"/>
        </w:rPr>
        <w:t>农村居民收入持续稳定增长</w:t>
      </w:r>
      <w:bookmarkEnd w:id="92"/>
      <w:bookmarkEnd w:id="93"/>
      <w:bookmarkEnd w:id="94"/>
      <w:bookmarkEnd w:id="95"/>
      <w:bookmarkEnd w:id="96"/>
      <w:bookmarkEnd w:id="97"/>
      <w:bookmarkEnd w:id="98"/>
      <w:bookmarkEnd w:id="99"/>
      <w:bookmarkEnd w:id="100"/>
      <w:bookmarkEnd w:id="101"/>
      <w:bookmarkEnd w:id="102"/>
      <w:r>
        <w:rPr>
          <w:rFonts w:ascii="Times New Roman" w:hAnsi="Times New Roman" w:eastAsia="仿宋_GB2312" w:cs="Times New Roman"/>
          <w:b/>
          <w:color w:val="auto"/>
          <w:sz w:val="32"/>
          <w:szCs w:val="32"/>
          <w:highlight w:val="none"/>
        </w:rPr>
        <w:t>。</w:t>
      </w:r>
      <w:r>
        <w:rPr>
          <w:rFonts w:ascii="Times New Roman" w:hAnsi="Times New Roman" w:eastAsia="仿宋_GB2312" w:cs="Times New Roman"/>
          <w:bCs/>
          <w:color w:val="auto"/>
          <w:sz w:val="32"/>
          <w:szCs w:val="32"/>
          <w:highlight w:val="none"/>
        </w:rPr>
        <w:t>“十三五”期间，荥经县农村居民经营性收入、工资性收入、转移性收入均呈较快速增长态势。农村居民人均可支配收入达16670元，增长43.1%，年均增长9.3%；农村居民人均生活消费支出12425元，增长10.7%，城乡收入差距进一步缩小，由2.48:1缩小到2.40:1。</w:t>
      </w:r>
    </w:p>
    <w:p>
      <w:pPr>
        <w:adjustRightInd w:val="0"/>
        <w:snapToGrid w:val="0"/>
        <w:spacing w:line="560" w:lineRule="exact"/>
        <w:ind w:firstLine="642" w:firstLineChars="200"/>
        <w:rPr>
          <w:rFonts w:ascii="Times New Roman" w:hAnsi="Times New Roman" w:eastAsia="仿宋" w:cs="Times New Roman"/>
          <w:bCs/>
          <w:color w:val="auto"/>
          <w:sz w:val="32"/>
          <w:szCs w:val="32"/>
          <w:highlight w:val="none"/>
        </w:rPr>
      </w:pPr>
      <w:bookmarkStart w:id="103" w:name="_Toc58250602"/>
      <w:bookmarkStart w:id="104" w:name="_Toc59205128"/>
      <w:bookmarkStart w:id="105" w:name="_Toc58934258"/>
      <w:bookmarkStart w:id="106" w:name="_Toc58422380"/>
      <w:bookmarkStart w:id="107" w:name="_Toc29260"/>
      <w:bookmarkStart w:id="108" w:name="_Toc59541164"/>
      <w:bookmarkStart w:id="109" w:name="_Toc58328009"/>
      <w:bookmarkStart w:id="110" w:name="_Toc17428"/>
      <w:bookmarkStart w:id="111" w:name="_Toc12857"/>
      <w:bookmarkStart w:id="112" w:name="_Toc788"/>
      <w:bookmarkStart w:id="113" w:name="_Toc58328085"/>
      <w:r>
        <w:rPr>
          <w:rFonts w:ascii="Times New Roman" w:hAnsi="Times New Roman" w:eastAsia="仿宋_GB2312" w:cs="Times New Roman"/>
          <w:b/>
          <w:color w:val="auto"/>
          <w:sz w:val="32"/>
          <w:szCs w:val="32"/>
          <w:highlight w:val="none"/>
        </w:rPr>
        <w:t>农村综合改革</w:t>
      </w:r>
      <w:bookmarkEnd w:id="103"/>
      <w:r>
        <w:rPr>
          <w:rFonts w:ascii="Times New Roman" w:hAnsi="Times New Roman" w:eastAsia="仿宋_GB2312" w:cs="Times New Roman"/>
          <w:b/>
          <w:color w:val="auto"/>
          <w:sz w:val="32"/>
          <w:szCs w:val="32"/>
          <w:highlight w:val="none"/>
        </w:rPr>
        <w:t>全面深入推进</w:t>
      </w:r>
      <w:bookmarkEnd w:id="104"/>
      <w:bookmarkEnd w:id="105"/>
      <w:bookmarkEnd w:id="106"/>
      <w:bookmarkEnd w:id="107"/>
      <w:bookmarkEnd w:id="108"/>
      <w:bookmarkEnd w:id="109"/>
      <w:bookmarkEnd w:id="110"/>
      <w:bookmarkEnd w:id="111"/>
      <w:bookmarkEnd w:id="112"/>
      <w:bookmarkEnd w:id="113"/>
      <w:r>
        <w:rPr>
          <w:rFonts w:ascii="Times New Roman" w:hAnsi="Times New Roman" w:eastAsia="仿宋_GB2312" w:cs="Times New Roman"/>
          <w:b/>
          <w:color w:val="auto"/>
          <w:sz w:val="32"/>
          <w:szCs w:val="32"/>
          <w:highlight w:val="none"/>
        </w:rPr>
        <w:t>。</w:t>
      </w:r>
      <w:r>
        <w:rPr>
          <w:rFonts w:ascii="Times New Roman" w:hAnsi="Times New Roman" w:eastAsia="仿宋_GB2312" w:cs="Times New Roman"/>
          <w:bCs/>
          <w:color w:val="auto"/>
          <w:sz w:val="32"/>
          <w:szCs w:val="32"/>
          <w:highlight w:val="none"/>
        </w:rPr>
        <w:t>“十三五”期间，荥经县以深化农村集体产权制度改革为主线，实施农村产权“多权同确”政策，加强农村土地经营权有序规范流转，推进新型农业经营主体培育。乡镇行政区划和村级建制调整改革及社区建制调整优化工作顺利实施，城乡基层治理工作全面加强。全面完后土地确权颁证工作。</w:t>
      </w:r>
    </w:p>
    <w:p>
      <w:pPr>
        <w:pStyle w:val="4"/>
        <w:keepLines w:val="0"/>
        <w:numPr>
          <w:ilvl w:val="1"/>
          <w:numId w:val="2"/>
        </w:numPr>
        <w:spacing w:before="312" w:beforeLines="100" w:after="312" w:afterLines="100" w:line="620" w:lineRule="exact"/>
        <w:jc w:val="center"/>
        <w:rPr>
          <w:rFonts w:ascii="Times New Roman" w:hAnsi="Times New Roman" w:cs="Times New Roman"/>
          <w:b/>
          <w:bCs/>
          <w:color w:val="auto"/>
          <w:highlight w:val="none"/>
        </w:rPr>
      </w:pPr>
      <w:bookmarkStart w:id="114" w:name="_Toc16288"/>
      <w:bookmarkStart w:id="115" w:name="_Toc58328010"/>
      <w:bookmarkStart w:id="116" w:name="_Toc48754114"/>
      <w:bookmarkStart w:id="117" w:name="_Toc75731140"/>
      <w:bookmarkStart w:id="118" w:name="_Toc24885"/>
      <w:bookmarkStart w:id="119" w:name="_Toc26844"/>
      <w:r>
        <w:rPr>
          <w:rFonts w:ascii="Times New Roman" w:hAnsi="Times New Roman" w:cs="Times New Roman"/>
          <w:b/>
          <w:bCs/>
          <w:color w:val="auto"/>
          <w:highlight w:val="none"/>
        </w:rPr>
        <w:t>面临形势</w:t>
      </w:r>
      <w:bookmarkEnd w:id="114"/>
      <w:bookmarkEnd w:id="115"/>
      <w:bookmarkEnd w:id="116"/>
      <w:bookmarkEnd w:id="117"/>
      <w:bookmarkEnd w:id="118"/>
      <w:bookmarkEnd w:id="119"/>
    </w:p>
    <w:p>
      <w:pPr>
        <w:adjustRightInd w:val="0"/>
        <w:snapToGrid w:val="0"/>
        <w:spacing w:line="560" w:lineRule="exact"/>
        <w:ind w:firstLine="640" w:firstLineChars="200"/>
        <w:rPr>
          <w:rFonts w:ascii="Times New Roman" w:hAnsi="Times New Roman" w:eastAsia="仿宋_GB2312" w:cs="Times New Roman"/>
          <w:bCs/>
          <w:color w:val="auto"/>
          <w:sz w:val="32"/>
          <w:szCs w:val="32"/>
          <w:highlight w:val="none"/>
        </w:rPr>
      </w:pPr>
      <w:bookmarkStart w:id="120" w:name="_Toc23449"/>
      <w:bookmarkStart w:id="121" w:name="_Toc58328087"/>
      <w:bookmarkStart w:id="122" w:name="_Toc15879"/>
      <w:bookmarkStart w:id="123" w:name="_Toc59541166"/>
      <w:bookmarkStart w:id="124" w:name="_Toc58250604"/>
      <w:bookmarkStart w:id="125" w:name="_Toc583"/>
      <w:bookmarkStart w:id="126" w:name="_Toc58422382"/>
      <w:bookmarkStart w:id="127" w:name="_Toc24679"/>
      <w:bookmarkStart w:id="128" w:name="_Toc59205130"/>
      <w:bookmarkStart w:id="129" w:name="_Toc58934260"/>
      <w:bookmarkStart w:id="130" w:name="_Toc58328011"/>
      <w:r>
        <w:rPr>
          <w:rFonts w:ascii="Times New Roman" w:hAnsi="Times New Roman" w:eastAsia="仿宋_GB2312" w:cs="Times New Roman"/>
          <w:bCs/>
          <w:color w:val="auto"/>
          <w:sz w:val="32"/>
          <w:szCs w:val="32"/>
          <w:highlight w:val="none"/>
        </w:rPr>
        <w:t>“十四五”时期，农业农村发展的外部环境、阶段特征和比较优势发生深刻变化，面临一系列重大机遇。</w:t>
      </w:r>
      <w:bookmarkEnd w:id="120"/>
      <w:bookmarkEnd w:id="121"/>
      <w:bookmarkEnd w:id="122"/>
      <w:bookmarkEnd w:id="123"/>
      <w:bookmarkEnd w:id="124"/>
      <w:bookmarkEnd w:id="125"/>
      <w:bookmarkEnd w:id="126"/>
      <w:bookmarkEnd w:id="127"/>
      <w:bookmarkEnd w:id="128"/>
      <w:bookmarkEnd w:id="129"/>
      <w:bookmarkEnd w:id="130"/>
      <w:r>
        <w:rPr>
          <w:rFonts w:ascii="Times New Roman" w:hAnsi="Times New Roman" w:eastAsia="仿宋_GB2312" w:cs="Times New Roman"/>
          <w:b/>
          <w:color w:val="auto"/>
          <w:sz w:val="32"/>
          <w:szCs w:val="32"/>
          <w:highlight w:val="none"/>
        </w:rPr>
        <w:t>一是多项政策机遇叠加。</w:t>
      </w:r>
      <w:r>
        <w:rPr>
          <w:rFonts w:ascii="Times New Roman" w:hAnsi="Times New Roman" w:eastAsia="仿宋_GB2312" w:cs="Times New Roman"/>
          <w:bCs/>
          <w:color w:val="auto"/>
          <w:sz w:val="32"/>
          <w:szCs w:val="32"/>
          <w:highlight w:val="none"/>
        </w:rPr>
        <w:t>中央、省市各级党委政府高度重视“三农”工作，为切实解决好“三农”问题创造了有利条件。随着乡村振兴、“一带一路”建设、新时代西部大开发、成渝地区双城经济圈等国家战略的深入推进以及四川省现代农业“10+3”产业体系构建、“一干多支、五区协同”“四向拓展、全域开放”等战略部署深入实施，将进一步加大强农惠农富农政策支持力度，荥经县农业农村现代化发展将迎来重要历史机遇。</w:t>
      </w:r>
      <w:r>
        <w:rPr>
          <w:rFonts w:ascii="Times New Roman" w:hAnsi="Times New Roman" w:eastAsia="仿宋_GB2312" w:cs="Times New Roman"/>
          <w:b/>
          <w:color w:val="auto"/>
          <w:sz w:val="32"/>
          <w:szCs w:val="32"/>
          <w:highlight w:val="none"/>
        </w:rPr>
        <w:t>二是消费结构转型升级。</w:t>
      </w:r>
      <w:r>
        <w:rPr>
          <w:rFonts w:ascii="Times New Roman" w:hAnsi="Times New Roman" w:eastAsia="仿宋_GB2312" w:cs="Times New Roman"/>
          <w:bCs/>
          <w:color w:val="auto"/>
          <w:sz w:val="32"/>
          <w:szCs w:val="32"/>
          <w:highlight w:val="none"/>
        </w:rPr>
        <w:t>随着居民生活水平提高，人们对高质量农产品需求旺盛，对生态旅游、休闲度假等消费需求日益增长，人们对食品的需求由“吃得饱、吃得好”转向“吃得安全、吃得营养、吃得健康”，消费结构变化为荥经县优质、绿色农产品提供了广阔的消费市场空间。加之得天独厚的生态条件，乡村旅游康养资源丰富，人文底蕴深厚，为农旅深度融合发展创造了条件，休闲农业和乡村旅游大有可为。</w:t>
      </w:r>
      <w:r>
        <w:rPr>
          <w:rFonts w:ascii="Times New Roman" w:hAnsi="Times New Roman" w:eastAsia="仿宋_GB2312" w:cs="Times New Roman"/>
          <w:b/>
          <w:color w:val="auto"/>
          <w:sz w:val="32"/>
          <w:szCs w:val="32"/>
          <w:highlight w:val="none"/>
        </w:rPr>
        <w:t>三是区位优势叠加明显。</w:t>
      </w:r>
      <w:r>
        <w:rPr>
          <w:rFonts w:ascii="Times New Roman" w:hAnsi="Times New Roman" w:eastAsia="仿宋_GB2312" w:cs="Times New Roman"/>
          <w:bCs/>
          <w:color w:val="auto"/>
          <w:sz w:val="32"/>
          <w:szCs w:val="32"/>
          <w:highlight w:val="none"/>
        </w:rPr>
        <w:t>荥经县位于成都平原经济区的环成都经济圈，是成都平原经济区辐射攀西、康藏的桥头堡，在经济区位中占据着重要的位置。良好的经济区位优势，使荥经县能更好地参与到成都平原经济区的产业分工中，为乡村振兴争取更多的人才、资金资源。多样化的立体气候和优越的自然生态环境，特殊的区域自然地理，得天独厚的生态条件，适宜发展各种特色优势农业产业和森林康养旅游，可为荥经县在城乡融合新格局中，提供绿水青山的生态价值。</w:t>
      </w:r>
      <w:r>
        <w:rPr>
          <w:rFonts w:ascii="Times New Roman" w:hAnsi="Times New Roman" w:eastAsia="仿宋_GB2312" w:cs="Times New Roman"/>
          <w:b/>
          <w:color w:val="auto"/>
          <w:sz w:val="32"/>
          <w:szCs w:val="32"/>
          <w:highlight w:val="none"/>
        </w:rPr>
        <w:t>四是农业产业基础雄厚。</w:t>
      </w:r>
      <w:r>
        <w:rPr>
          <w:rFonts w:ascii="Times New Roman" w:hAnsi="Times New Roman" w:eastAsia="仿宋_GB2312" w:cs="Times New Roman"/>
          <w:bCs/>
          <w:color w:val="auto"/>
          <w:sz w:val="32"/>
          <w:szCs w:val="32"/>
          <w:highlight w:val="none"/>
        </w:rPr>
        <w:t>全县建成了茶叶、中药材、林竹果蔬三条产业环线及竹产业现代农业园区、中药材现代特色农业园区、农产品深加工现代农业园区、茶产业现代农业园区四个园区，产业实现连片规模发展。“荥经竹笋”“荥经天麻”获得农业农村部的农产品地理标志认证，农产品品牌效应初显，并成功创建省级有机产品认证示范区。通过建基地、育主体、搞加工、控质量、利益联结等方面补短板，为农业现代化发展奠定了坚实基础。</w:t>
      </w:r>
    </w:p>
    <w:p>
      <w:pPr>
        <w:pStyle w:val="22"/>
        <w:adjustRightInd w:val="0"/>
        <w:snapToGrid w:val="0"/>
        <w:spacing w:line="560" w:lineRule="exact"/>
        <w:ind w:firstLine="640"/>
        <w:rPr>
          <w:rFonts w:ascii="Times New Roman" w:hAnsi="Times New Roman"/>
          <w:bCs/>
          <w:color w:val="auto"/>
          <w:szCs w:val="32"/>
          <w:highlight w:val="none"/>
        </w:rPr>
      </w:pPr>
      <w:r>
        <w:rPr>
          <w:rFonts w:ascii="Times New Roman" w:hAnsi="Times New Roman"/>
          <w:bCs/>
          <w:color w:val="auto"/>
          <w:szCs w:val="32"/>
          <w:highlight w:val="none"/>
        </w:rPr>
        <w:t>同时，发展不平衡不充分问题仍然较为突出，</w:t>
      </w:r>
      <w:r>
        <w:rPr>
          <w:rFonts w:ascii="Times New Roman" w:hAnsi="Times New Roman"/>
          <w:b/>
          <w:color w:val="auto"/>
          <w:szCs w:val="32"/>
          <w:highlight w:val="none"/>
        </w:rPr>
        <w:t>一是外部形势复杂多变。</w:t>
      </w:r>
      <w:r>
        <w:rPr>
          <w:rFonts w:ascii="Times New Roman" w:hAnsi="Times New Roman"/>
          <w:bCs/>
          <w:color w:val="auto"/>
          <w:szCs w:val="32"/>
          <w:highlight w:val="none"/>
        </w:rPr>
        <w:t>中美贸易斗争、新冠肺炎疫情的不确定性不稳定性，国际发展形势更加错综复杂，世界经济增速将进一步放缓。国内方面，我国经济已进入高质量发展阶段，结构性、体制性、周期性问题相互交织，农业发展仍面临结构转型升级问题。国内外环境的较大不确定性，为我国粮油、生猪等重要农产品保供以及其他特色农产品带来新挑战。</w:t>
      </w:r>
      <w:r>
        <w:rPr>
          <w:rFonts w:ascii="Times New Roman" w:hAnsi="Times New Roman"/>
          <w:b/>
          <w:color w:val="auto"/>
          <w:szCs w:val="32"/>
          <w:highlight w:val="none"/>
        </w:rPr>
        <w:t>二是农业处于地区弱势地位。</w:t>
      </w:r>
      <w:r>
        <w:rPr>
          <w:rFonts w:ascii="Times New Roman" w:hAnsi="Times New Roman"/>
          <w:bCs/>
          <w:color w:val="auto"/>
          <w:szCs w:val="32"/>
          <w:highlight w:val="none"/>
        </w:rPr>
        <w:t>全县农业发展整体滞后，历史欠账较多，农业效益比较低下，相对而言仍然处于弱势地位。随着土地、资金、劳动力等资源不断向非农行业转移，发展要素抽离和弱化的趋势越来越明显，农业产业发展面临要素流出与投入需求逆向运行的挑战。</w:t>
      </w:r>
      <w:r>
        <w:rPr>
          <w:rFonts w:ascii="Times New Roman" w:hAnsi="Times New Roman"/>
          <w:b/>
          <w:color w:val="auto"/>
          <w:szCs w:val="32"/>
          <w:highlight w:val="none"/>
        </w:rPr>
        <w:t>三是农业产业化水平不高。</w:t>
      </w:r>
      <w:r>
        <w:rPr>
          <w:rFonts w:ascii="Times New Roman" w:hAnsi="Times New Roman"/>
          <w:bCs/>
          <w:color w:val="auto"/>
          <w:szCs w:val="32"/>
          <w:highlight w:val="none"/>
        </w:rPr>
        <w:t>全县生产基地集约化、标准化、规模化程度较低，综合开发能力不强；加工企业数量少、规模小，结构不合理，加之龙头企业的规模较小，带动、示范引领能力不强，农业产业链条较短；农产品加工档次低，产品增值率不高，农产品品牌市场认知度较低、增值速度较慢、品牌价值提升空间有限，品牌影响力不足，缺乏精品、名牌产品。</w:t>
      </w:r>
      <w:r>
        <w:rPr>
          <w:rFonts w:ascii="Times New Roman" w:hAnsi="Times New Roman"/>
          <w:b/>
          <w:color w:val="auto"/>
          <w:szCs w:val="32"/>
          <w:highlight w:val="none"/>
        </w:rPr>
        <w:t>四是农业科技支撑能力较弱。</w:t>
      </w:r>
      <w:r>
        <w:rPr>
          <w:rFonts w:ascii="Times New Roman" w:hAnsi="Times New Roman"/>
          <w:bCs/>
          <w:color w:val="auto"/>
          <w:szCs w:val="32"/>
          <w:highlight w:val="none"/>
        </w:rPr>
        <w:t>全县自主创新研究和开发的农业科研单位缺失，农业科技推广队伍比较薄弱，社会化服务设施设备落后，推广经费投入不足，先进适用技术推广以及农民科技文化素质培训力度不大，农业科技支撑乏力，生产潜能和发展后劲不足，很大程度制约依靠科技进步提高农业发展水平的能力。</w:t>
      </w:r>
      <w:r>
        <w:rPr>
          <w:rFonts w:ascii="Times New Roman" w:hAnsi="Times New Roman"/>
          <w:b/>
          <w:bCs/>
          <w:color w:val="auto"/>
          <w:szCs w:val="32"/>
          <w:highlight w:val="none"/>
        </w:rPr>
        <w:t>五是农民持续增收面临较大困难。</w:t>
      </w:r>
      <w:r>
        <w:rPr>
          <w:rFonts w:ascii="Times New Roman" w:hAnsi="Times New Roman"/>
          <w:bCs/>
          <w:color w:val="auto"/>
          <w:szCs w:val="32"/>
          <w:highlight w:val="none"/>
        </w:rPr>
        <w:t>全县农民增收总体上呈现以务工、养殖和从事二、三产业为致富手段的主体格局。随着经济发展步入新常态，农民就业结构性矛盾凸显，加之农民工技能培训仍然滞后，影响农民工资性收入。农业生产资料、劳动力等成本价格上涨过快，影响农民经营性收入。农业补贴增长空间有限，影响农民转移性收入。农村产权制度等改革尚处于推进阶段，政策红利释放处于滞后期，农民财产性收入增长缓慢。</w:t>
      </w:r>
    </w:p>
    <w:p>
      <w:pPr>
        <w:pStyle w:val="25"/>
        <w:adjustRightInd w:val="0"/>
        <w:snapToGrid w:val="0"/>
        <w:spacing w:line="560" w:lineRule="exact"/>
        <w:ind w:firstLine="64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总的来看，“十四五”时期农业农村发展仍处于补齐短板、大有作为的重要战略机遇期，必须牢牢把握进入新发展阶段、贯彻新发展理念、构建新发展格局的丰富内涵和实践要求，增强机遇意识和风险意识，努力在危机中育先机、于变局中开新局</w:t>
      </w:r>
      <w:bookmarkStart w:id="131" w:name="_Toc58328013"/>
      <w:r>
        <w:rPr>
          <w:rFonts w:ascii="Times New Roman" w:hAnsi="Times New Roman" w:eastAsia="仿宋_GB2312" w:cs="Times New Roman"/>
          <w:bCs/>
          <w:color w:val="auto"/>
          <w:sz w:val="32"/>
          <w:szCs w:val="32"/>
          <w:highlight w:val="none"/>
        </w:rPr>
        <w:t>。</w:t>
      </w:r>
    </w:p>
    <w:bookmarkEnd w:id="131"/>
    <w:p>
      <w:pPr>
        <w:pStyle w:val="4"/>
        <w:keepLines w:val="0"/>
        <w:numPr>
          <w:ilvl w:val="1"/>
          <w:numId w:val="2"/>
        </w:numPr>
        <w:spacing w:before="312" w:beforeLines="100" w:after="312" w:afterLines="100" w:line="620" w:lineRule="exact"/>
        <w:jc w:val="center"/>
        <w:rPr>
          <w:rFonts w:ascii="Times New Roman" w:hAnsi="Times New Roman" w:cs="Times New Roman"/>
          <w:b/>
          <w:bCs/>
          <w:color w:val="auto"/>
          <w:highlight w:val="none"/>
        </w:rPr>
      </w:pPr>
      <w:bookmarkStart w:id="132" w:name="_Toc56514834"/>
      <w:bookmarkStart w:id="133" w:name="_Toc12595"/>
      <w:bookmarkStart w:id="134" w:name="_Toc29902"/>
      <w:bookmarkStart w:id="135" w:name="_Toc58328014"/>
      <w:bookmarkStart w:id="136" w:name="_Toc10226"/>
      <w:bookmarkStart w:id="137" w:name="_Toc29947"/>
      <w:bookmarkStart w:id="138" w:name="_Toc75731141"/>
      <w:r>
        <w:rPr>
          <w:rFonts w:ascii="Times New Roman" w:hAnsi="Times New Roman" w:cs="Times New Roman"/>
          <w:b/>
          <w:bCs/>
          <w:color w:val="auto"/>
          <w:highlight w:val="none"/>
        </w:rPr>
        <w:t>指导思想</w:t>
      </w:r>
      <w:bookmarkEnd w:id="132"/>
      <w:bookmarkEnd w:id="133"/>
      <w:bookmarkEnd w:id="134"/>
      <w:bookmarkEnd w:id="135"/>
      <w:bookmarkEnd w:id="136"/>
      <w:bookmarkEnd w:id="137"/>
      <w:bookmarkEnd w:id="138"/>
    </w:p>
    <w:p>
      <w:pPr>
        <w:pStyle w:val="7"/>
        <w:spacing w:line="560" w:lineRule="exact"/>
        <w:ind w:firstLine="640" w:firstLineChars="200"/>
        <w:rPr>
          <w:rFonts w:ascii="Times New Roman" w:hAnsi="Times New Roman" w:eastAsia="仿宋" w:cs="Times New Roman"/>
          <w:color w:val="auto"/>
          <w:sz w:val="32"/>
          <w:szCs w:val="32"/>
          <w:highlight w:val="none"/>
        </w:rPr>
      </w:pPr>
      <w:r>
        <w:rPr>
          <w:rFonts w:ascii="Times New Roman" w:hAnsi="Times New Roman" w:eastAsia="仿宋_GB2312" w:cs="Times New Roman"/>
          <w:color w:val="auto"/>
          <w:sz w:val="32"/>
          <w:szCs w:val="32"/>
          <w:highlight w:val="none"/>
        </w:rPr>
        <w:t>高举中国特色社会主义伟大旗帜，深入贯彻党的十九大和十九届二中、三中、四中、五中全会精神，坚持以马克思列宁主义、毛泽东思想、邓小平理论、“三个代表”重要思想、科学发展观、习近平新时代中国特色社会主义思想为指导，全面贯彻党的基本理论、基本路线、基本方略，深入落实习近平总书记对四川工作、雅安发展系列重要指示精神，贯彻落实省委十一届八次全会、市委四届九次全会精神，围绕荥经县委县政府走农业市场化、现代化、特色化道路的工作思路，坚定建设全省山区经济强县的总体目标，以推动现代农业高质量发展为主题，以改革创新为根本动力，以满足人民日益增长的美好生活需要为根本目的，保障粮食安全，推动农业生产要素高效集聚，夯实农业产业基础，强化农业科技支撑，推进一二三产业融合发展，提高农业质量效益和竞争力。深化农村改革，进一步建立健全和完善城乡融合发展的治理机制和政策体系，大力实施乡村建设行动，推进农村人居环境整治，建立健全农村生态环境保护的长效机制，实现巩固拓展脱贫攻坚成果同乡村振兴有效衔接，将荥经打造成为</w:t>
      </w:r>
      <w:r>
        <w:rPr>
          <w:rFonts w:ascii="Times New Roman" w:hAnsi="Times New Roman" w:eastAsia="仿宋_GB2312" w:cs="Times New Roman"/>
          <w:b/>
          <w:bCs/>
          <w:color w:val="auto"/>
          <w:sz w:val="32"/>
          <w:szCs w:val="32"/>
          <w:highlight w:val="none"/>
        </w:rPr>
        <w:t>成渝地区特色有机农产品供给基地、成渝地区高品质</w:t>
      </w:r>
      <w:r>
        <w:rPr>
          <w:rFonts w:ascii="Times New Roman" w:hAnsi="Times New Roman" w:eastAsia="仿宋_GB2312" w:cs="Times New Roman"/>
          <w:b/>
          <w:color w:val="auto"/>
          <w:sz w:val="32"/>
          <w:szCs w:val="32"/>
          <w:highlight w:val="none"/>
        </w:rPr>
        <w:t>生活宜居地</w:t>
      </w:r>
      <w:r>
        <w:rPr>
          <w:rFonts w:ascii="Times New Roman" w:hAnsi="Times New Roman" w:eastAsia="仿宋_GB2312" w:cs="Times New Roman"/>
          <w:color w:val="auto"/>
          <w:sz w:val="32"/>
          <w:szCs w:val="32"/>
          <w:highlight w:val="none"/>
        </w:rPr>
        <w:t>，加快推进荥经县农业农村现代化进程。</w:t>
      </w:r>
    </w:p>
    <w:p>
      <w:pPr>
        <w:pStyle w:val="4"/>
        <w:keepLines w:val="0"/>
        <w:numPr>
          <w:ilvl w:val="1"/>
          <w:numId w:val="2"/>
        </w:numPr>
        <w:spacing w:before="312" w:beforeLines="100" w:after="312" w:afterLines="100" w:line="620" w:lineRule="exact"/>
        <w:jc w:val="center"/>
        <w:rPr>
          <w:rFonts w:ascii="Times New Roman" w:hAnsi="Times New Roman" w:cs="Times New Roman"/>
          <w:b/>
          <w:bCs/>
          <w:color w:val="auto"/>
          <w:highlight w:val="none"/>
        </w:rPr>
      </w:pPr>
      <w:bookmarkStart w:id="139" w:name="_Toc58328015"/>
      <w:bookmarkStart w:id="140" w:name="_Toc25274"/>
      <w:bookmarkStart w:id="141" w:name="_Toc56514835"/>
      <w:bookmarkStart w:id="142" w:name="_Toc31137"/>
      <w:bookmarkStart w:id="143" w:name="_Toc75731142"/>
      <w:bookmarkStart w:id="144" w:name="_Toc1129"/>
      <w:bookmarkStart w:id="145" w:name="_Toc28043"/>
      <w:r>
        <w:rPr>
          <w:rFonts w:ascii="Times New Roman" w:hAnsi="Times New Roman" w:cs="Times New Roman"/>
          <w:b/>
          <w:bCs/>
          <w:color w:val="auto"/>
          <w:highlight w:val="none"/>
        </w:rPr>
        <w:t>基本原则</w:t>
      </w:r>
      <w:bookmarkEnd w:id="139"/>
      <w:bookmarkEnd w:id="140"/>
      <w:bookmarkEnd w:id="141"/>
      <w:bookmarkEnd w:id="142"/>
      <w:bookmarkEnd w:id="143"/>
      <w:bookmarkEnd w:id="144"/>
      <w:bookmarkEnd w:id="145"/>
    </w:p>
    <w:p>
      <w:pPr>
        <w:pStyle w:val="22"/>
        <w:snapToGrid w:val="0"/>
        <w:spacing w:line="560" w:lineRule="exact"/>
        <w:ind w:firstLine="643"/>
        <w:rPr>
          <w:rFonts w:ascii="Times New Roman" w:hAnsi="Times New Roman"/>
          <w:bCs/>
          <w:color w:val="auto"/>
          <w:szCs w:val="32"/>
          <w:highlight w:val="none"/>
        </w:rPr>
      </w:pPr>
      <w:bookmarkStart w:id="146" w:name="_Toc58422387"/>
      <w:bookmarkStart w:id="147" w:name="_Toc59541171"/>
      <w:bookmarkStart w:id="148" w:name="_Toc30960"/>
      <w:bookmarkStart w:id="149" w:name="_Toc27197"/>
      <w:bookmarkStart w:id="150" w:name="_Toc2432"/>
      <w:bookmarkStart w:id="151" w:name="_Toc5250"/>
      <w:bookmarkStart w:id="152" w:name="_Toc59205135"/>
      <w:bookmarkStart w:id="153" w:name="_Toc58934265"/>
      <w:bookmarkStart w:id="154" w:name="_Toc58328092"/>
      <w:bookmarkStart w:id="155" w:name="_Toc58328016"/>
      <w:r>
        <w:rPr>
          <w:rFonts w:ascii="Times New Roman" w:hAnsi="Times New Roman"/>
          <w:b/>
          <w:color w:val="auto"/>
          <w:szCs w:val="32"/>
          <w:highlight w:val="none"/>
        </w:rPr>
        <w:t>——坚持政府引导，市场主导</w:t>
      </w:r>
      <w:bookmarkEnd w:id="146"/>
      <w:bookmarkEnd w:id="147"/>
      <w:bookmarkEnd w:id="148"/>
      <w:bookmarkEnd w:id="149"/>
      <w:bookmarkEnd w:id="150"/>
      <w:bookmarkEnd w:id="151"/>
      <w:bookmarkEnd w:id="152"/>
      <w:bookmarkEnd w:id="153"/>
      <w:r>
        <w:rPr>
          <w:rFonts w:ascii="Times New Roman" w:hAnsi="Times New Roman"/>
          <w:b/>
          <w:color w:val="auto"/>
          <w:szCs w:val="32"/>
          <w:highlight w:val="none"/>
        </w:rPr>
        <w:t>。</w:t>
      </w:r>
      <w:r>
        <w:rPr>
          <w:rFonts w:ascii="Times New Roman" w:hAnsi="Times New Roman"/>
          <w:bCs/>
          <w:color w:val="auto"/>
          <w:szCs w:val="32"/>
          <w:highlight w:val="none"/>
        </w:rPr>
        <w:t>统筹兼顾，因地施策，强化政府规划引领、机制创新、政策支持和配套服务，充分发挥市场主体在产业发展、投资建设、产品营销等方面的主导作用，形成多种有效建设模式。</w:t>
      </w:r>
      <w:bookmarkEnd w:id="154"/>
      <w:bookmarkEnd w:id="155"/>
    </w:p>
    <w:p>
      <w:pPr>
        <w:pStyle w:val="22"/>
        <w:snapToGrid w:val="0"/>
        <w:spacing w:line="560" w:lineRule="exact"/>
        <w:ind w:firstLine="643"/>
        <w:rPr>
          <w:rFonts w:ascii="Times New Roman" w:hAnsi="Times New Roman"/>
          <w:color w:val="auto"/>
          <w:szCs w:val="32"/>
          <w:highlight w:val="none"/>
        </w:rPr>
      </w:pPr>
      <w:bookmarkStart w:id="156" w:name="_Toc58250610"/>
      <w:bookmarkStart w:id="157" w:name="_Toc59205136"/>
      <w:bookmarkStart w:id="158" w:name="_Toc15691"/>
      <w:bookmarkStart w:id="159" w:name="_Toc58328017"/>
      <w:bookmarkStart w:id="160" w:name="_Toc58934266"/>
      <w:bookmarkStart w:id="161" w:name="_Toc29742"/>
      <w:bookmarkStart w:id="162" w:name="_Toc58328093"/>
      <w:bookmarkStart w:id="163" w:name="_Toc59541172"/>
      <w:bookmarkStart w:id="164" w:name="_Toc1862"/>
      <w:bookmarkStart w:id="165" w:name="_Toc5501"/>
      <w:bookmarkStart w:id="166" w:name="_Toc58422388"/>
      <w:r>
        <w:rPr>
          <w:rFonts w:ascii="Times New Roman" w:hAnsi="Times New Roman"/>
          <w:b/>
          <w:color w:val="auto"/>
          <w:szCs w:val="32"/>
          <w:highlight w:val="none"/>
        </w:rPr>
        <w:t>——坚持园区引领</w:t>
      </w:r>
      <w:bookmarkEnd w:id="156"/>
      <w:r>
        <w:rPr>
          <w:rFonts w:ascii="Times New Roman" w:hAnsi="Times New Roman"/>
          <w:b/>
          <w:color w:val="auto"/>
          <w:szCs w:val="32"/>
          <w:highlight w:val="none"/>
        </w:rPr>
        <w:t>，绿色发展</w:t>
      </w:r>
      <w:bookmarkEnd w:id="157"/>
      <w:bookmarkEnd w:id="158"/>
      <w:bookmarkEnd w:id="159"/>
      <w:bookmarkEnd w:id="160"/>
      <w:bookmarkEnd w:id="161"/>
      <w:bookmarkEnd w:id="162"/>
      <w:bookmarkEnd w:id="163"/>
      <w:bookmarkEnd w:id="164"/>
      <w:bookmarkEnd w:id="165"/>
      <w:bookmarkEnd w:id="166"/>
      <w:r>
        <w:rPr>
          <w:rFonts w:ascii="Times New Roman" w:hAnsi="Times New Roman"/>
          <w:b/>
          <w:color w:val="auto"/>
          <w:szCs w:val="32"/>
          <w:highlight w:val="none"/>
        </w:rPr>
        <w:t>。</w:t>
      </w:r>
      <w:r>
        <w:rPr>
          <w:rFonts w:ascii="Times New Roman" w:hAnsi="Times New Roman"/>
          <w:bCs/>
          <w:color w:val="auto"/>
          <w:szCs w:val="32"/>
          <w:highlight w:val="none"/>
        </w:rPr>
        <w:t>高质量高标准建设现代农业园区，做强产业基地，做响质量品牌，做大精深加工，做实经营主体，做好融合文章。以改革创新破瓶颈解难题，不断提升现代农业园区发展水平，着力构建现代农业产业体系。大力推行农业节水，建立绿色、低碳、循环发展长效机制，发展绿色产业。</w:t>
      </w:r>
    </w:p>
    <w:p>
      <w:pPr>
        <w:pStyle w:val="22"/>
        <w:snapToGrid w:val="0"/>
        <w:spacing w:line="560" w:lineRule="exact"/>
        <w:ind w:firstLine="643"/>
        <w:rPr>
          <w:rFonts w:ascii="Times New Roman" w:hAnsi="Times New Roman"/>
          <w:bCs/>
          <w:color w:val="auto"/>
          <w:szCs w:val="32"/>
          <w:highlight w:val="none"/>
        </w:rPr>
      </w:pPr>
      <w:bookmarkStart w:id="167" w:name="_Toc58250612"/>
      <w:bookmarkStart w:id="168" w:name="_Toc58328018"/>
      <w:bookmarkStart w:id="169" w:name="_Toc25298"/>
      <w:bookmarkStart w:id="170" w:name="_Toc58328094"/>
      <w:bookmarkStart w:id="171" w:name="_Toc15310"/>
      <w:bookmarkStart w:id="172" w:name="_Toc58422389"/>
      <w:bookmarkStart w:id="173" w:name="_Toc4115"/>
      <w:bookmarkStart w:id="174" w:name="_Toc59541173"/>
      <w:bookmarkStart w:id="175" w:name="_Toc59205137"/>
      <w:bookmarkStart w:id="176" w:name="_Toc15055"/>
      <w:bookmarkStart w:id="177" w:name="_Toc58934267"/>
      <w:r>
        <w:rPr>
          <w:rFonts w:ascii="Times New Roman" w:hAnsi="Times New Roman"/>
          <w:b/>
          <w:color w:val="auto"/>
          <w:szCs w:val="32"/>
          <w:highlight w:val="none"/>
        </w:rPr>
        <w:t>——坚持科技支撑</w:t>
      </w:r>
      <w:bookmarkEnd w:id="167"/>
      <w:r>
        <w:rPr>
          <w:rFonts w:ascii="Times New Roman" w:hAnsi="Times New Roman"/>
          <w:b/>
          <w:color w:val="auto"/>
          <w:szCs w:val="32"/>
          <w:highlight w:val="none"/>
        </w:rPr>
        <w:t>，质量兴农</w:t>
      </w:r>
      <w:bookmarkEnd w:id="168"/>
      <w:bookmarkEnd w:id="169"/>
      <w:bookmarkEnd w:id="170"/>
      <w:bookmarkEnd w:id="171"/>
      <w:bookmarkEnd w:id="172"/>
      <w:bookmarkEnd w:id="173"/>
      <w:bookmarkEnd w:id="174"/>
      <w:bookmarkEnd w:id="175"/>
      <w:bookmarkEnd w:id="176"/>
      <w:bookmarkEnd w:id="177"/>
      <w:r>
        <w:rPr>
          <w:rFonts w:ascii="Times New Roman" w:hAnsi="Times New Roman"/>
          <w:b/>
          <w:color w:val="auto"/>
          <w:szCs w:val="32"/>
          <w:highlight w:val="none"/>
        </w:rPr>
        <w:t>。</w:t>
      </w:r>
      <w:r>
        <w:rPr>
          <w:rFonts w:ascii="Times New Roman" w:hAnsi="Times New Roman"/>
          <w:bCs/>
          <w:color w:val="auto"/>
          <w:szCs w:val="32"/>
          <w:highlight w:val="none"/>
        </w:rPr>
        <w:t>围绕产出高效、产品安全，推进产学研融合、推广先进实用技术、培育高素质农民，发挥科技支撑力量，提升产业基础能力和产业链现代化水平，促进现代高效特色农业发展。推行农业标准化，提升监管能力，加快品牌培育，不断提升全县农产品质量安全治理能力和水平，全面提升农业质量效益和竞争力。</w:t>
      </w:r>
    </w:p>
    <w:p>
      <w:pPr>
        <w:pStyle w:val="22"/>
        <w:snapToGrid w:val="0"/>
        <w:spacing w:line="560" w:lineRule="exact"/>
        <w:ind w:firstLine="643"/>
        <w:rPr>
          <w:rFonts w:ascii="Times New Roman" w:hAnsi="Times New Roman"/>
          <w:bCs/>
          <w:color w:val="auto"/>
          <w:szCs w:val="32"/>
          <w:highlight w:val="none"/>
        </w:rPr>
      </w:pPr>
      <w:bookmarkStart w:id="178" w:name="_Toc19526"/>
      <w:bookmarkStart w:id="179" w:name="_Toc4919"/>
      <w:bookmarkStart w:id="180" w:name="_Toc20588"/>
      <w:bookmarkStart w:id="181" w:name="_Toc58934268"/>
      <w:bookmarkStart w:id="182" w:name="_Toc59541174"/>
      <w:bookmarkStart w:id="183" w:name="_Toc58328019"/>
      <w:bookmarkStart w:id="184" w:name="_Toc4982"/>
      <w:bookmarkStart w:id="185" w:name="_Toc59205138"/>
      <w:bookmarkStart w:id="186" w:name="_Toc58328095"/>
      <w:bookmarkStart w:id="187" w:name="_Toc58422390"/>
      <w:r>
        <w:rPr>
          <w:rFonts w:ascii="Times New Roman" w:hAnsi="Times New Roman"/>
          <w:b/>
          <w:color w:val="auto"/>
          <w:szCs w:val="32"/>
          <w:highlight w:val="none"/>
        </w:rPr>
        <w:t>——坚持农民主体，改革创新</w:t>
      </w:r>
      <w:bookmarkEnd w:id="178"/>
      <w:bookmarkEnd w:id="179"/>
      <w:bookmarkEnd w:id="180"/>
      <w:bookmarkEnd w:id="181"/>
      <w:bookmarkEnd w:id="182"/>
      <w:bookmarkEnd w:id="183"/>
      <w:bookmarkEnd w:id="184"/>
      <w:bookmarkEnd w:id="185"/>
      <w:bookmarkEnd w:id="186"/>
      <w:bookmarkEnd w:id="187"/>
      <w:r>
        <w:rPr>
          <w:rFonts w:ascii="Times New Roman" w:hAnsi="Times New Roman"/>
          <w:b/>
          <w:color w:val="auto"/>
          <w:szCs w:val="32"/>
          <w:highlight w:val="none"/>
        </w:rPr>
        <w:t>。</w:t>
      </w:r>
      <w:r>
        <w:rPr>
          <w:rFonts w:ascii="Times New Roman" w:hAnsi="Times New Roman"/>
          <w:bCs/>
          <w:color w:val="auto"/>
          <w:szCs w:val="32"/>
          <w:highlight w:val="none"/>
        </w:rPr>
        <w:t>充分尊重农民意愿，切实发挥农民在产业发展中的主体作用，调动农民的积极性、主动性、创造性，促进农民持续增收，不断提升农民的获得感、幸福感、安全感。进一步完善农村产权制度和要素市场化配置，加强农村改革系统集成、协同配套，优化乡村营商环境。健全城乡融合发展机制和农业支持保护制度，推动城乡要素平等交换、双向流动，增强农业农村发展活力。</w:t>
      </w:r>
    </w:p>
    <w:p>
      <w:pPr>
        <w:pStyle w:val="22"/>
        <w:snapToGrid w:val="0"/>
        <w:spacing w:line="560" w:lineRule="exact"/>
        <w:ind w:firstLine="643"/>
        <w:rPr>
          <w:rFonts w:ascii="Times New Roman" w:hAnsi="Times New Roman"/>
          <w:bCs/>
          <w:color w:val="auto"/>
          <w:szCs w:val="32"/>
          <w:highlight w:val="none"/>
        </w:rPr>
      </w:pPr>
      <w:bookmarkStart w:id="188" w:name="_Toc9772"/>
      <w:bookmarkStart w:id="189" w:name="_Toc17479"/>
      <w:bookmarkStart w:id="190" w:name="_Toc58422391"/>
      <w:bookmarkStart w:id="191" w:name="_Toc59205139"/>
      <w:bookmarkStart w:id="192" w:name="_Toc6795"/>
      <w:bookmarkStart w:id="193" w:name="_Toc58328096"/>
      <w:bookmarkStart w:id="194" w:name="_Toc58328020"/>
      <w:bookmarkStart w:id="195" w:name="_Toc58250614"/>
      <w:bookmarkStart w:id="196" w:name="_Toc59541175"/>
      <w:bookmarkStart w:id="197" w:name="_Toc58934269"/>
      <w:bookmarkStart w:id="198" w:name="_Toc5313"/>
      <w:r>
        <w:rPr>
          <w:rFonts w:ascii="Times New Roman" w:hAnsi="Times New Roman"/>
          <w:b/>
          <w:color w:val="auto"/>
          <w:szCs w:val="32"/>
          <w:highlight w:val="none"/>
        </w:rPr>
        <w:t>——坚持巩固脱贫，生活富裕</w:t>
      </w:r>
      <w:bookmarkEnd w:id="188"/>
      <w:bookmarkEnd w:id="189"/>
      <w:bookmarkEnd w:id="190"/>
      <w:bookmarkEnd w:id="191"/>
      <w:bookmarkEnd w:id="192"/>
      <w:bookmarkEnd w:id="193"/>
      <w:bookmarkEnd w:id="194"/>
      <w:bookmarkEnd w:id="195"/>
      <w:bookmarkEnd w:id="196"/>
      <w:bookmarkEnd w:id="197"/>
      <w:bookmarkEnd w:id="198"/>
      <w:r>
        <w:rPr>
          <w:rFonts w:ascii="Times New Roman" w:hAnsi="Times New Roman"/>
          <w:b/>
          <w:color w:val="auto"/>
          <w:szCs w:val="32"/>
          <w:highlight w:val="none"/>
        </w:rPr>
        <w:t>。</w:t>
      </w:r>
      <w:r>
        <w:rPr>
          <w:rFonts w:ascii="Times New Roman" w:hAnsi="Times New Roman"/>
          <w:bCs/>
          <w:color w:val="auto"/>
          <w:szCs w:val="32"/>
          <w:highlight w:val="none"/>
        </w:rPr>
        <w:t>实现巩固拓展脱贫攻坚成果同乡村振兴有效衔接，健全防止返贫监测和帮扶机制，增强其巩固脱贫成果及内生发展能力。发展县域经济，推动农村一二三产业融合发展，丰富乡村经济业态，拓展农民增收空间，大力提升农村居民收入水平和生活质量水平。</w:t>
      </w:r>
    </w:p>
    <w:p>
      <w:pPr>
        <w:pStyle w:val="4"/>
        <w:keepLines w:val="0"/>
        <w:numPr>
          <w:ilvl w:val="1"/>
          <w:numId w:val="2"/>
        </w:numPr>
        <w:spacing w:before="312" w:beforeLines="100" w:after="312" w:afterLines="100" w:line="620" w:lineRule="exact"/>
        <w:jc w:val="center"/>
        <w:rPr>
          <w:rFonts w:ascii="Times New Roman" w:hAnsi="Times New Roman" w:cs="Times New Roman"/>
          <w:b/>
          <w:bCs/>
          <w:color w:val="auto"/>
          <w:highlight w:val="none"/>
        </w:rPr>
      </w:pPr>
      <w:bookmarkStart w:id="199" w:name="_Toc2105"/>
      <w:bookmarkStart w:id="200" w:name="_Toc75731143"/>
      <w:bookmarkStart w:id="201" w:name="_Toc30052"/>
      <w:bookmarkStart w:id="202" w:name="_Toc56514836"/>
      <w:bookmarkStart w:id="203" w:name="_Toc16138"/>
      <w:bookmarkStart w:id="204" w:name="_Toc19724"/>
      <w:r>
        <w:rPr>
          <w:rFonts w:ascii="Times New Roman" w:hAnsi="Times New Roman" w:cs="Times New Roman"/>
          <w:b/>
          <w:bCs/>
          <w:color w:val="auto"/>
          <w:highlight w:val="none"/>
        </w:rPr>
        <w:t>主要目标</w:t>
      </w:r>
      <w:bookmarkEnd w:id="199"/>
      <w:bookmarkEnd w:id="200"/>
      <w:bookmarkEnd w:id="201"/>
      <w:bookmarkEnd w:id="202"/>
      <w:bookmarkEnd w:id="203"/>
      <w:bookmarkEnd w:id="204"/>
    </w:p>
    <w:p>
      <w:pPr>
        <w:pStyle w:val="7"/>
        <w:spacing w:after="0" w:line="560" w:lineRule="exact"/>
        <w:ind w:firstLine="640"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到2025年，荥经县农业农村现代化水平稳步提升，特色优势产业综合产值大幅提升，农业生产基础条件和生态环境明显改善，主要农产品生产能力和质量安全稳步提高，现代农业园区实现全覆盖。现代农业经营体系更加健全，农村一二三产业深度融合，特色农产品品牌知名度、美誉度显著提升。乡村文化更加繁荣，乡村治理水平显著提升，农村居民生活水平显著提高。形成现代高效、特色鲜明、结构合理、链条完整、生态绿色的现代农业产业体系，全县现代农业综合水平显著提升。到2025年，农业综合效益稳步提升，农业增加值达18.0亿元以上，农业增加值年均增长5%以上，农产品加工业与农业总产值比达到16.7%（5/30）。</w:t>
      </w:r>
    </w:p>
    <w:p>
      <w:pPr>
        <w:pStyle w:val="7"/>
        <w:spacing w:after="0" w:line="560" w:lineRule="exact"/>
        <w:ind w:firstLine="642"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
          <w:bCs/>
          <w:color w:val="auto"/>
          <w:sz w:val="32"/>
          <w:szCs w:val="32"/>
          <w:highlight w:val="none"/>
        </w:rPr>
        <w:t>——优势特色产业提质增效，供给保障能力进一步增强。</w:t>
      </w:r>
      <w:r>
        <w:rPr>
          <w:rFonts w:ascii="Times New Roman" w:hAnsi="Times New Roman" w:eastAsia="仿宋_GB2312" w:cs="Times New Roman"/>
          <w:bCs/>
          <w:color w:val="auto"/>
          <w:sz w:val="32"/>
          <w:szCs w:val="32"/>
          <w:highlight w:val="none"/>
        </w:rPr>
        <w:t>到2025年，全县粮食播种面积稳定在9.3万亩左右，总产量3.6万吨；油料面积稳定在2.3万亩左右，总产0.3万吨；蔬菜（含食用菌）5万亩，产量4.5万吨。全县茶叶种植面积15万亩，产量0.5万吨，产值8亿元；中药材25万亩，产值达到5亿元，其中草本中药材2万亩、产量0.17万吨；林竹面积50万亩，竹笋产量5万吨；水果面积4万亩，产量2万吨；总产值达到2亿元。稳定出栏生猪50万头、家禽35万只、肉牛1.5万头以上、肉羊1.6万只以上、兔30万只以上，肉类总产量3万吨。</w:t>
      </w:r>
    </w:p>
    <w:p>
      <w:pPr>
        <w:pStyle w:val="7"/>
        <w:spacing w:after="0" w:line="560" w:lineRule="exact"/>
        <w:ind w:firstLine="642"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
          <w:bCs/>
          <w:color w:val="auto"/>
          <w:sz w:val="32"/>
          <w:szCs w:val="32"/>
          <w:highlight w:val="none"/>
        </w:rPr>
        <w:t>——农业标准化不断发展，质量安全水平进一步提高。</w:t>
      </w:r>
      <w:r>
        <w:rPr>
          <w:rFonts w:ascii="Times New Roman" w:hAnsi="Times New Roman" w:eastAsia="仿宋_GB2312" w:cs="Times New Roman"/>
          <w:bCs/>
          <w:color w:val="auto"/>
          <w:sz w:val="32"/>
          <w:szCs w:val="32"/>
          <w:highlight w:val="none"/>
        </w:rPr>
        <w:t>实施农产品“品种、品质、品牌”三品提升工程，推进全国农产品全程质量控制技术体系试点县建设和农产品“三品一标”认证，争创国家农产品质量安全县和有机产品认证示范创建区，农业标准化生产能力显著提升，农产品质量安全管理体系基本健全，“三品一标”农产品总数达到80个，推进质量安全可追溯制度，主要农产品质量安全抽检合格率稳定保持在98％以上，努力把荥经建设成为重要有机农产品供应基地。</w:t>
      </w:r>
    </w:p>
    <w:p>
      <w:pPr>
        <w:pStyle w:val="7"/>
        <w:spacing w:after="0" w:line="560" w:lineRule="exact"/>
        <w:ind w:firstLine="642"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
          <w:bCs/>
          <w:color w:val="auto"/>
          <w:sz w:val="32"/>
          <w:szCs w:val="32"/>
          <w:highlight w:val="none"/>
        </w:rPr>
        <w:t>——农业基础条件持续改善，科技支撑能力明显提升。</w:t>
      </w:r>
      <w:r>
        <w:rPr>
          <w:rFonts w:ascii="Times New Roman" w:hAnsi="Times New Roman" w:eastAsia="仿宋_GB2312" w:cs="Times New Roman"/>
          <w:bCs/>
          <w:color w:val="auto"/>
          <w:sz w:val="32"/>
          <w:szCs w:val="32"/>
          <w:highlight w:val="none"/>
        </w:rPr>
        <w:t>新改建高标准农田</w:t>
      </w:r>
      <w:r>
        <w:rPr>
          <w:rFonts w:hint="eastAsia" w:ascii="Times New Roman" w:hAnsi="Times New Roman" w:eastAsia="仿宋_GB2312" w:cs="Times New Roman"/>
          <w:bCs/>
          <w:color w:val="auto"/>
          <w:sz w:val="32"/>
          <w:szCs w:val="32"/>
          <w:highlight w:val="none"/>
          <w:lang w:val="en-US" w:eastAsia="zh-CN"/>
        </w:rPr>
        <w:t>3.55</w:t>
      </w:r>
      <w:r>
        <w:rPr>
          <w:rFonts w:ascii="Times New Roman" w:hAnsi="Times New Roman" w:eastAsia="仿宋_GB2312" w:cs="Times New Roman"/>
          <w:bCs/>
          <w:color w:val="auto"/>
          <w:sz w:val="32"/>
          <w:szCs w:val="32"/>
          <w:highlight w:val="none"/>
        </w:rPr>
        <w:t>万亩。农业物质技术装备水平明显提高，农业科技创新能力持续增强，农业机械总动力达到18万千瓦，主要农作物耕种收综合机械化水平达到50%以上，农业科技成果转化率达到</w:t>
      </w:r>
      <w:r>
        <w:rPr>
          <w:rFonts w:hint="eastAsia" w:ascii="Times New Roman" w:hAnsi="Times New Roman" w:eastAsia="仿宋_GB2312" w:cs="Times New Roman"/>
          <w:bCs/>
          <w:color w:val="auto"/>
          <w:sz w:val="32"/>
          <w:szCs w:val="32"/>
          <w:highlight w:val="none"/>
          <w:lang w:val="en-US" w:eastAsia="zh-CN"/>
        </w:rPr>
        <w:t>65</w:t>
      </w:r>
      <w:r>
        <w:rPr>
          <w:rFonts w:ascii="Times New Roman" w:hAnsi="Times New Roman" w:eastAsia="仿宋_GB2312" w:cs="Times New Roman"/>
          <w:bCs/>
          <w:color w:val="auto"/>
          <w:sz w:val="32"/>
          <w:szCs w:val="32"/>
          <w:highlight w:val="none"/>
        </w:rPr>
        <w:t>%以上。新增有效灌溉面积8万亩，发展高效节水灌溉面积1万亩，灌溉水有效利用系数达到0.63，农业信息化基础设施进一步夯实。</w:t>
      </w:r>
    </w:p>
    <w:p>
      <w:pPr>
        <w:pStyle w:val="7"/>
        <w:spacing w:after="0" w:line="560" w:lineRule="exact"/>
        <w:ind w:firstLine="642"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
          <w:bCs/>
          <w:color w:val="auto"/>
          <w:sz w:val="32"/>
          <w:szCs w:val="32"/>
          <w:highlight w:val="none"/>
        </w:rPr>
        <w:t>——现代农业园区功能进一步强化，辐射带动能力增强。</w:t>
      </w:r>
      <w:r>
        <w:rPr>
          <w:rFonts w:ascii="Times New Roman" w:hAnsi="Times New Roman" w:eastAsia="仿宋_GB2312" w:cs="Times New Roman"/>
          <w:bCs/>
          <w:color w:val="auto"/>
          <w:sz w:val="32"/>
          <w:szCs w:val="32"/>
          <w:highlight w:val="none"/>
        </w:rPr>
        <w:t>把现代农业产业园建成全县现代农业发展要素的聚集区、运用先进技术示范区、深化改革先行区、产业融合先导区，全面辐射带动全县优势特色产业发展。到2025年，累计争创省星级现代农业园区2个、市星级现代农业园区2个、县级农业园区5个。依托现代农业园区建设，创成乡村振兴先进县，创建省级乡村振兴先进乡镇2个、示范村7个，市级先进乡镇4个、示范村25个。</w:t>
      </w:r>
    </w:p>
    <w:p>
      <w:pPr>
        <w:pStyle w:val="7"/>
        <w:spacing w:after="0" w:line="560" w:lineRule="exact"/>
        <w:ind w:firstLine="642"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
          <w:bCs/>
          <w:color w:val="auto"/>
          <w:sz w:val="32"/>
          <w:szCs w:val="32"/>
          <w:highlight w:val="none"/>
        </w:rPr>
        <w:t>——农业产业化经营水平大幅提升，生产方式逐步转变。</w:t>
      </w:r>
      <w:r>
        <w:rPr>
          <w:rFonts w:ascii="Times New Roman" w:hAnsi="Times New Roman" w:eastAsia="仿宋_GB2312" w:cs="Times New Roman"/>
          <w:bCs/>
          <w:color w:val="auto"/>
          <w:sz w:val="32"/>
          <w:szCs w:val="32"/>
          <w:highlight w:val="none"/>
        </w:rPr>
        <w:t>农业发展方式得到较大转变，农业产业化经营水平、农业现代化程度大幅提升。到2025年，培育市级以上示范家庭农场20个、市级以上示范农民合作社20个、市级以上龙头企业20个。培训基层农技人员400人次，建设“为农服务中心”3个。形成一主多元、覆盖全程、综合配套、便捷高效的新型农业社会化服务体系。农村一二三产业融合发展，乡村旅游成为助农增收新引擎。</w:t>
      </w:r>
    </w:p>
    <w:p>
      <w:pPr>
        <w:pStyle w:val="7"/>
        <w:spacing w:after="0" w:line="560" w:lineRule="exact"/>
        <w:ind w:firstLine="642"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
          <w:bCs/>
          <w:color w:val="auto"/>
          <w:sz w:val="32"/>
          <w:szCs w:val="32"/>
          <w:highlight w:val="none"/>
        </w:rPr>
        <w:t>——农业生态环境持续优化，资源利用水平进一步提升。</w:t>
      </w:r>
      <w:r>
        <w:rPr>
          <w:rFonts w:ascii="Times New Roman" w:hAnsi="Times New Roman" w:eastAsia="仿宋_GB2312" w:cs="Times New Roman"/>
          <w:bCs/>
          <w:color w:val="auto"/>
          <w:sz w:val="32"/>
          <w:szCs w:val="32"/>
          <w:highlight w:val="none"/>
        </w:rPr>
        <w:t>农业生态综合效益进一步增强，农民生产和生活方式低碳化绿色化取得显著成效。到2025年，全县耕地保有量不低于8200公顷，特色农产品产业有机肥使用比重达到15%，农膜回收利用率达到70%以上，农作物秸秆综合利用率达到92%以上，规模化养殖场粪污处理设施装备配套率达到95%以上，畜禽粪污综合利用率达到83.5%。森林覆盖率达到81%。</w:t>
      </w:r>
    </w:p>
    <w:p>
      <w:pPr>
        <w:pStyle w:val="7"/>
        <w:spacing w:after="0" w:line="560" w:lineRule="exact"/>
        <w:ind w:firstLine="642"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
          <w:bCs/>
          <w:color w:val="auto"/>
          <w:sz w:val="32"/>
          <w:szCs w:val="32"/>
          <w:highlight w:val="none"/>
        </w:rPr>
        <w:t>——农村社会事业成效明显，农民生活质量显著提高。</w:t>
      </w:r>
      <w:r>
        <w:rPr>
          <w:rFonts w:ascii="Times New Roman" w:hAnsi="Times New Roman" w:eastAsia="仿宋_GB2312" w:cs="Times New Roman"/>
          <w:bCs/>
          <w:color w:val="auto"/>
          <w:sz w:val="32"/>
          <w:szCs w:val="32"/>
          <w:highlight w:val="none"/>
        </w:rPr>
        <w:t>农村集中供水普及，全面构建精准到户的农村饮水安全保障体系。农村电网全面改造升级。农村教育水平医疗水平得到全面提高。全面建成完善的农村社会保障体系。农村公共服务体系更加健全，乡镇（街道）、村（社区）全部建成基层综合性文化服务中心，幸福美丽新村文化院坝全覆盖。</w:t>
      </w:r>
    </w:p>
    <w:p>
      <w:pPr>
        <w:pStyle w:val="7"/>
        <w:spacing w:after="0" w:line="560" w:lineRule="exact"/>
        <w:ind w:firstLine="642"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
          <w:bCs/>
          <w:color w:val="auto"/>
          <w:sz w:val="32"/>
          <w:szCs w:val="32"/>
          <w:highlight w:val="none"/>
        </w:rPr>
        <w:t>——农村改革全面深化，农村体制机制进一步创新完善。</w:t>
      </w:r>
      <w:r>
        <w:rPr>
          <w:rFonts w:ascii="Times New Roman" w:hAnsi="Times New Roman" w:eastAsia="仿宋_GB2312" w:cs="Times New Roman"/>
          <w:bCs/>
          <w:color w:val="auto"/>
          <w:sz w:val="32"/>
          <w:szCs w:val="32"/>
          <w:highlight w:val="none"/>
        </w:rPr>
        <w:t>新型农业经营体、农业支持保护体系、农业社会化服务体系、农业科技创新体系、适合农业农村特点的农村金融体系健全，城乡经济社会发展一体化体制机制全面建立。新型农业经营主体与农民建立起利益共享、风险共担的紧密型利益联结机制，农民共享农业全产业链增值收益，龙头企业带动现代农业发展和农民持续增收能力不断增强，内外联动、务实高效的农业开放合作新格局完全形成。</w:t>
      </w:r>
    </w:p>
    <w:p>
      <w:pPr>
        <w:pStyle w:val="7"/>
        <w:spacing w:after="0" w:line="560" w:lineRule="exact"/>
        <w:ind w:firstLine="642"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b/>
          <w:bCs/>
          <w:color w:val="auto"/>
          <w:sz w:val="32"/>
          <w:szCs w:val="32"/>
          <w:highlight w:val="none"/>
        </w:rPr>
        <w:t>壮大</w:t>
      </w:r>
      <w:r>
        <w:rPr>
          <w:rFonts w:ascii="Times New Roman" w:hAnsi="Times New Roman" w:eastAsia="仿宋_GB2312" w:cs="Times New Roman"/>
          <w:b/>
          <w:bCs/>
          <w:color w:val="auto"/>
          <w:sz w:val="32"/>
          <w:szCs w:val="32"/>
          <w:highlight w:val="none"/>
        </w:rPr>
        <w:t>高素质农民</w:t>
      </w:r>
      <w:r>
        <w:rPr>
          <w:rFonts w:hint="eastAsia" w:ascii="Times New Roman" w:hAnsi="Times New Roman" w:eastAsia="仿宋_GB2312" w:cs="Times New Roman"/>
          <w:b/>
          <w:bCs/>
          <w:color w:val="auto"/>
          <w:sz w:val="32"/>
          <w:szCs w:val="32"/>
          <w:highlight w:val="none"/>
        </w:rPr>
        <w:t>队伍</w:t>
      </w:r>
      <w:r>
        <w:rPr>
          <w:rFonts w:ascii="Times New Roman" w:hAnsi="Times New Roman" w:eastAsia="仿宋_GB2312" w:cs="Times New Roman"/>
          <w:b/>
          <w:bCs/>
          <w:color w:val="auto"/>
          <w:sz w:val="32"/>
          <w:szCs w:val="32"/>
          <w:highlight w:val="none"/>
        </w:rPr>
        <w:t>，农民全面发展取得新突破。</w:t>
      </w:r>
      <w:r>
        <w:rPr>
          <w:rFonts w:ascii="Times New Roman" w:hAnsi="Times New Roman" w:eastAsia="仿宋_GB2312" w:cs="Times New Roman"/>
          <w:bCs/>
          <w:color w:val="auto"/>
          <w:sz w:val="32"/>
          <w:szCs w:val="32"/>
          <w:highlight w:val="none"/>
        </w:rPr>
        <w:t>初步建立高素质农民制度和教育培训体系，平均每年培训高素质农民50人次，初步形成返乡下乡创业就业引导激励机制，进一步加强农民队伍精神文明建设，农村居民人均可支配收入持续增加，农村居民人均可支配收入达到25649元（年均增长9%），增幅高于全国平均水平。城乡居民收入比缩小到2.11:1，城乡居民收入差距进一步缩小。</w:t>
      </w:r>
    </w:p>
    <w:p>
      <w:pPr>
        <w:pStyle w:val="7"/>
        <w:spacing w:after="0" w:line="560" w:lineRule="exact"/>
        <w:ind w:firstLine="642"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
          <w:bCs/>
          <w:color w:val="auto"/>
          <w:sz w:val="32"/>
          <w:szCs w:val="32"/>
          <w:highlight w:val="none"/>
        </w:rPr>
        <w:t>——实现巩固拓展脱贫攻坚成果同乡村振兴有效衔接。</w:t>
      </w:r>
      <w:r>
        <w:rPr>
          <w:rFonts w:ascii="Times New Roman" w:hAnsi="Times New Roman" w:eastAsia="仿宋_GB2312" w:cs="Times New Roman"/>
          <w:bCs/>
          <w:color w:val="auto"/>
          <w:sz w:val="32"/>
          <w:szCs w:val="32"/>
          <w:highlight w:val="none"/>
        </w:rPr>
        <w:t>健全防止返贫监测和帮扶机制，健全农村社会保障和救助制度，增强脱贫地区巩固脱贫成果及内生发展能力，持续推动脱贫摘帽地区乡村全面振兴。</w:t>
      </w:r>
    </w:p>
    <w:p>
      <w:pPr>
        <w:pStyle w:val="22"/>
        <w:snapToGrid w:val="0"/>
        <w:spacing w:before="156" w:beforeLines="50" w:after="156" w:afterLines="50" w:line="620" w:lineRule="exact"/>
        <w:ind w:firstLine="0" w:firstLineChars="0"/>
        <w:jc w:val="center"/>
        <w:rPr>
          <w:rFonts w:ascii="Times New Roman" w:hAnsi="Times New Roman" w:eastAsia="黑体"/>
          <w:b/>
          <w:bCs/>
          <w:color w:val="auto"/>
          <w:kern w:val="0"/>
          <w:sz w:val="28"/>
          <w:szCs w:val="28"/>
          <w:highlight w:val="none"/>
        </w:rPr>
      </w:pPr>
      <w:r>
        <w:rPr>
          <w:rFonts w:ascii="Times New Roman" w:hAnsi="Times New Roman" w:eastAsia="黑体"/>
          <w:b/>
          <w:bCs/>
          <w:color w:val="auto"/>
          <w:kern w:val="0"/>
          <w:sz w:val="28"/>
          <w:szCs w:val="28"/>
          <w:highlight w:val="none"/>
        </w:rPr>
        <w:t>专栏1 荥经县“十四五”推进农业农村现代化主要指标</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3941"/>
        <w:gridCol w:w="1167"/>
        <w:gridCol w:w="1167"/>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blHeader/>
        </w:trPr>
        <w:tc>
          <w:tcPr>
            <w:tcW w:w="666" w:type="pct"/>
            <w:shd w:val="clear" w:color="auto" w:fill="auto"/>
            <w:vAlign w:val="center"/>
          </w:tcPr>
          <w:p>
            <w:pPr>
              <w:widowControl/>
              <w:spacing w:line="360" w:lineRule="exact"/>
              <w:jc w:val="center"/>
              <w:rPr>
                <w:rFonts w:ascii="Times New Roman" w:hAnsi="Times New Roman" w:eastAsia="仿宋_GB2312" w:cs="Times New Roman"/>
                <w:b/>
                <w:color w:val="auto"/>
                <w:kern w:val="0"/>
                <w:sz w:val="28"/>
                <w:szCs w:val="28"/>
                <w:highlight w:val="none"/>
              </w:rPr>
            </w:pPr>
            <w:r>
              <w:rPr>
                <w:rFonts w:ascii="Times New Roman" w:hAnsi="Times New Roman" w:eastAsia="仿宋_GB2312" w:cs="Times New Roman"/>
                <w:b/>
                <w:color w:val="auto"/>
                <w:kern w:val="0"/>
                <w:sz w:val="28"/>
                <w:szCs w:val="28"/>
                <w:highlight w:val="none"/>
              </w:rPr>
              <w:t>类别</w:t>
            </w:r>
          </w:p>
        </w:tc>
        <w:tc>
          <w:tcPr>
            <w:tcW w:w="2310" w:type="pct"/>
            <w:shd w:val="clear" w:color="auto" w:fill="auto"/>
            <w:vAlign w:val="center"/>
          </w:tcPr>
          <w:p>
            <w:pPr>
              <w:widowControl/>
              <w:spacing w:line="360" w:lineRule="exact"/>
              <w:jc w:val="center"/>
              <w:rPr>
                <w:rFonts w:ascii="Times New Roman" w:hAnsi="Times New Roman" w:eastAsia="仿宋_GB2312" w:cs="Times New Roman"/>
                <w:b/>
                <w:color w:val="auto"/>
                <w:kern w:val="0"/>
                <w:sz w:val="28"/>
                <w:szCs w:val="28"/>
                <w:highlight w:val="none"/>
              </w:rPr>
            </w:pPr>
            <w:r>
              <w:rPr>
                <w:rFonts w:ascii="Times New Roman" w:hAnsi="Times New Roman" w:eastAsia="仿宋_GB2312" w:cs="Times New Roman"/>
                <w:b/>
                <w:color w:val="auto"/>
                <w:kern w:val="0"/>
                <w:sz w:val="28"/>
                <w:szCs w:val="28"/>
                <w:highlight w:val="none"/>
              </w:rPr>
              <w:t>指标</w:t>
            </w:r>
          </w:p>
        </w:tc>
        <w:tc>
          <w:tcPr>
            <w:tcW w:w="684" w:type="pct"/>
            <w:shd w:val="clear" w:color="auto" w:fill="auto"/>
            <w:vAlign w:val="center"/>
          </w:tcPr>
          <w:p>
            <w:pPr>
              <w:widowControl/>
              <w:spacing w:line="360" w:lineRule="exact"/>
              <w:jc w:val="center"/>
              <w:rPr>
                <w:rFonts w:ascii="Times New Roman" w:hAnsi="Times New Roman" w:eastAsia="仿宋_GB2312" w:cs="Times New Roman"/>
                <w:b/>
                <w:color w:val="auto"/>
                <w:kern w:val="0"/>
                <w:sz w:val="28"/>
                <w:szCs w:val="28"/>
                <w:highlight w:val="none"/>
              </w:rPr>
            </w:pPr>
            <w:r>
              <w:rPr>
                <w:rFonts w:ascii="Times New Roman" w:hAnsi="Times New Roman" w:eastAsia="仿宋_GB2312" w:cs="Times New Roman"/>
                <w:b/>
                <w:color w:val="auto"/>
                <w:kern w:val="0"/>
                <w:sz w:val="28"/>
                <w:szCs w:val="28"/>
                <w:highlight w:val="none"/>
              </w:rPr>
              <w:t>2020年</w:t>
            </w:r>
          </w:p>
          <w:p>
            <w:pPr>
              <w:widowControl/>
              <w:spacing w:line="360" w:lineRule="exact"/>
              <w:jc w:val="center"/>
              <w:rPr>
                <w:rFonts w:ascii="Times New Roman" w:hAnsi="Times New Roman" w:eastAsia="仿宋_GB2312" w:cs="Times New Roman"/>
                <w:b/>
                <w:color w:val="auto"/>
                <w:kern w:val="0"/>
                <w:sz w:val="28"/>
                <w:szCs w:val="28"/>
                <w:highlight w:val="none"/>
              </w:rPr>
            </w:pPr>
            <w:r>
              <w:rPr>
                <w:rFonts w:ascii="Times New Roman" w:hAnsi="Times New Roman" w:eastAsia="仿宋_GB2312" w:cs="Times New Roman"/>
                <w:b/>
                <w:color w:val="auto"/>
                <w:kern w:val="0"/>
                <w:sz w:val="28"/>
                <w:szCs w:val="28"/>
                <w:highlight w:val="none"/>
              </w:rPr>
              <w:t>实际</w:t>
            </w:r>
          </w:p>
        </w:tc>
        <w:tc>
          <w:tcPr>
            <w:tcW w:w="684" w:type="pct"/>
            <w:shd w:val="clear" w:color="auto" w:fill="auto"/>
            <w:vAlign w:val="center"/>
          </w:tcPr>
          <w:p>
            <w:pPr>
              <w:widowControl/>
              <w:spacing w:line="360" w:lineRule="exact"/>
              <w:jc w:val="center"/>
              <w:rPr>
                <w:rFonts w:ascii="Times New Roman" w:hAnsi="Times New Roman" w:eastAsia="仿宋_GB2312" w:cs="Times New Roman"/>
                <w:b/>
                <w:color w:val="auto"/>
                <w:kern w:val="0"/>
                <w:sz w:val="28"/>
                <w:szCs w:val="28"/>
                <w:highlight w:val="none"/>
              </w:rPr>
            </w:pPr>
            <w:r>
              <w:rPr>
                <w:rFonts w:ascii="Times New Roman" w:hAnsi="Times New Roman" w:eastAsia="仿宋_GB2312" w:cs="Times New Roman"/>
                <w:b/>
                <w:color w:val="auto"/>
                <w:kern w:val="0"/>
                <w:sz w:val="28"/>
                <w:szCs w:val="28"/>
                <w:highlight w:val="none"/>
              </w:rPr>
              <w:t>2025年</w:t>
            </w:r>
          </w:p>
          <w:p>
            <w:pPr>
              <w:spacing w:line="360" w:lineRule="exact"/>
              <w:jc w:val="center"/>
              <w:rPr>
                <w:rFonts w:ascii="Times New Roman" w:hAnsi="Times New Roman" w:eastAsia="仿宋_GB2312" w:cs="Times New Roman"/>
                <w:b/>
                <w:color w:val="auto"/>
                <w:kern w:val="0"/>
                <w:sz w:val="28"/>
                <w:szCs w:val="28"/>
                <w:highlight w:val="none"/>
              </w:rPr>
            </w:pPr>
            <w:r>
              <w:rPr>
                <w:rFonts w:ascii="Times New Roman" w:hAnsi="Times New Roman" w:eastAsia="仿宋_GB2312" w:cs="Times New Roman"/>
                <w:b/>
                <w:color w:val="auto"/>
                <w:kern w:val="0"/>
                <w:sz w:val="28"/>
                <w:szCs w:val="28"/>
                <w:highlight w:val="none"/>
              </w:rPr>
              <w:t>规划</w:t>
            </w:r>
          </w:p>
        </w:tc>
        <w:tc>
          <w:tcPr>
            <w:tcW w:w="654" w:type="pct"/>
            <w:shd w:val="clear" w:color="auto" w:fill="auto"/>
            <w:vAlign w:val="center"/>
          </w:tcPr>
          <w:p>
            <w:pPr>
              <w:widowControl/>
              <w:spacing w:line="360" w:lineRule="exact"/>
              <w:jc w:val="center"/>
              <w:rPr>
                <w:rFonts w:ascii="Times New Roman" w:hAnsi="Times New Roman" w:eastAsia="仿宋_GB2312" w:cs="Times New Roman"/>
                <w:b/>
                <w:color w:val="auto"/>
                <w:kern w:val="0"/>
                <w:sz w:val="28"/>
                <w:szCs w:val="28"/>
                <w:highlight w:val="none"/>
              </w:rPr>
            </w:pPr>
            <w:r>
              <w:rPr>
                <w:rFonts w:ascii="Times New Roman" w:hAnsi="Times New Roman" w:eastAsia="仿宋_GB2312" w:cs="Times New Roman"/>
                <w:b/>
                <w:color w:val="auto"/>
                <w:kern w:val="0"/>
                <w:sz w:val="28"/>
                <w:szCs w:val="28"/>
                <w:highlight w:val="none"/>
              </w:rPr>
              <w:t>指标</w:t>
            </w:r>
          </w:p>
          <w:p>
            <w:pPr>
              <w:spacing w:line="360" w:lineRule="exact"/>
              <w:jc w:val="center"/>
              <w:rPr>
                <w:rFonts w:ascii="Times New Roman" w:hAnsi="Times New Roman" w:eastAsia="仿宋_GB2312" w:cs="Times New Roman"/>
                <w:b/>
                <w:color w:val="auto"/>
                <w:kern w:val="0"/>
                <w:sz w:val="28"/>
                <w:szCs w:val="28"/>
                <w:highlight w:val="none"/>
              </w:rPr>
            </w:pPr>
            <w:r>
              <w:rPr>
                <w:rFonts w:ascii="Times New Roman" w:hAnsi="Times New Roman" w:eastAsia="仿宋_GB2312" w:cs="Times New Roman"/>
                <w:b/>
                <w:color w:val="auto"/>
                <w:kern w:val="0"/>
                <w:sz w:val="28"/>
                <w:szCs w:val="28"/>
                <w:highlight w:val="none"/>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restar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现代农业体系初步形成</w:t>
            </w: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农业增加值（亿元）</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14.07</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18</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农产品加工业产值与农业总产值之比</w:t>
            </w:r>
          </w:p>
        </w:tc>
        <w:tc>
          <w:tcPr>
            <w:tcW w:w="684" w:type="pct"/>
            <w:shd w:val="clear" w:color="auto" w:fill="auto"/>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lang w:val="en-US" w:eastAsia="zh-CN"/>
              </w:rPr>
            </w:pPr>
            <w:r>
              <w:rPr>
                <w:rFonts w:hint="eastAsia" w:ascii="Times New Roman" w:hAnsi="Times New Roman" w:eastAsia="仿宋_GB2312" w:cs="Times New Roman"/>
                <w:color w:val="auto"/>
                <w:kern w:val="0"/>
                <w:sz w:val="28"/>
                <w:szCs w:val="28"/>
                <w:highlight w:val="none"/>
                <w:lang w:val="en-US" w:eastAsia="zh-CN"/>
              </w:rPr>
              <w:t>12.5</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16.7</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农业劳动生产率（万元/人）</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3.57</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4.00</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创建省星级现代农业园区（个）</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0</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2</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培育市星级现代农业园区（个）</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1</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2</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培育县级现代农业园区（个）</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2</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5</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土地适度规模经营率（%）</w:t>
            </w:r>
          </w:p>
        </w:tc>
        <w:tc>
          <w:tcPr>
            <w:tcW w:w="684" w:type="pct"/>
            <w:shd w:val="clear" w:color="auto" w:fill="auto"/>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lang w:val="en-US" w:eastAsia="zh-CN"/>
              </w:rPr>
            </w:pPr>
            <w:r>
              <w:rPr>
                <w:rFonts w:hint="eastAsia" w:ascii="Times New Roman" w:hAnsi="Times New Roman" w:eastAsia="仿宋_GB2312" w:cs="Times New Roman"/>
                <w:color w:val="auto"/>
                <w:kern w:val="0"/>
                <w:sz w:val="28"/>
                <w:szCs w:val="28"/>
                <w:highlight w:val="none"/>
                <w:lang w:val="en-US" w:eastAsia="zh-CN"/>
              </w:rPr>
              <w:t>22</w:t>
            </w:r>
          </w:p>
        </w:tc>
        <w:tc>
          <w:tcPr>
            <w:tcW w:w="684" w:type="pct"/>
            <w:shd w:val="clear" w:color="auto" w:fill="auto"/>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lang w:val="en-US" w:eastAsia="zh-CN"/>
              </w:rPr>
            </w:pPr>
            <w:r>
              <w:rPr>
                <w:rFonts w:hint="eastAsia" w:ascii="Times New Roman" w:hAnsi="Times New Roman" w:eastAsia="仿宋_GB2312" w:cs="Times New Roman"/>
                <w:color w:val="auto"/>
                <w:kern w:val="0"/>
                <w:sz w:val="28"/>
                <w:szCs w:val="28"/>
                <w:highlight w:val="none"/>
                <w:lang w:val="en-US" w:eastAsia="zh-CN"/>
              </w:rPr>
              <w:t>30</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培育市级以上重点龙头企业（家）</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11</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20</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培育市级以上示范合作社（家）</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16</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20</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培育市级以上示范家庭农场（家）</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11</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20</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restar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重要农产品供给有效</w:t>
            </w: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粮食总产量（万吨）</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3.58</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3.60</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生猪出栏量（万头）</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5.40</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50.00</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茶叶总产量（吨）</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3728</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5000</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竹材总产量（万吨）</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3.49</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5</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果蔬总产量（万吨）</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4.67</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5</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水产品总产量（吨）</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347</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500</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绿色、有机、地理标志农产品认证登记数量（个）</w:t>
            </w:r>
          </w:p>
        </w:tc>
        <w:tc>
          <w:tcPr>
            <w:tcW w:w="684" w:type="pct"/>
            <w:shd w:val="clear" w:color="auto" w:fill="auto"/>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lang w:val="en-US" w:eastAsia="zh-CN"/>
              </w:rPr>
            </w:pPr>
            <w:r>
              <w:rPr>
                <w:rFonts w:hint="eastAsia" w:ascii="Times New Roman" w:hAnsi="Times New Roman" w:eastAsia="仿宋_GB2312" w:cs="Times New Roman"/>
                <w:color w:val="auto"/>
                <w:kern w:val="0"/>
                <w:sz w:val="28"/>
                <w:szCs w:val="28"/>
                <w:highlight w:val="none"/>
                <w:lang w:val="en-US" w:eastAsia="zh-CN"/>
              </w:rPr>
              <w:t>46</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80</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restar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农业基础保障有力</w:t>
            </w: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耕地保有量（万亩）</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14</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12.3</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建成高标准农田（万亩）</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2.4</w:t>
            </w:r>
          </w:p>
        </w:tc>
        <w:tc>
          <w:tcPr>
            <w:tcW w:w="684" w:type="pct"/>
            <w:shd w:val="clear" w:color="auto" w:fill="auto"/>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lang w:val="en-US" w:eastAsia="zh-CN"/>
              </w:rPr>
            </w:pPr>
            <w:r>
              <w:rPr>
                <w:rFonts w:hint="eastAsia" w:ascii="Times New Roman" w:hAnsi="Times New Roman" w:eastAsia="仿宋_GB2312" w:cs="Times New Roman"/>
                <w:color w:val="auto"/>
                <w:kern w:val="0"/>
                <w:sz w:val="28"/>
                <w:szCs w:val="28"/>
                <w:highlight w:val="none"/>
                <w:lang w:val="en-US" w:eastAsia="zh-CN"/>
              </w:rPr>
              <w:t>3.55</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有效灌溉面积（万亩）</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11.5</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19.5</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农田灌溉水有效利用系数</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0.61</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0.63</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农业科技贡献率（%）</w:t>
            </w:r>
          </w:p>
        </w:tc>
        <w:tc>
          <w:tcPr>
            <w:tcW w:w="684" w:type="pct"/>
            <w:shd w:val="clear" w:color="auto" w:fill="auto"/>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lang w:val="en-US" w:eastAsia="zh-CN"/>
              </w:rPr>
            </w:pPr>
            <w:r>
              <w:rPr>
                <w:rFonts w:hint="eastAsia" w:ascii="Times New Roman" w:hAnsi="Times New Roman" w:eastAsia="仿宋_GB2312" w:cs="Times New Roman"/>
                <w:color w:val="auto"/>
                <w:kern w:val="0"/>
                <w:sz w:val="28"/>
                <w:szCs w:val="28"/>
                <w:highlight w:val="none"/>
                <w:lang w:val="en-US" w:eastAsia="zh-CN"/>
              </w:rPr>
              <w:t>50.05</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65</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主要农作物综合机械化率（%）</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38.5</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50</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主要农作物良种覆盖率（%）</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97</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98</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为农服务中心</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0</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3</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“五良”融合全程机械化示范区（个）</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0</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1</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restar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宜居乡村建设成效显著</w:t>
            </w: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畜禽粪污综合利用率（%）</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82.94</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83.5%</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农作物秸秆综合利用率（%）</w:t>
            </w:r>
          </w:p>
        </w:tc>
        <w:tc>
          <w:tcPr>
            <w:tcW w:w="684" w:type="pct"/>
            <w:shd w:val="clear" w:color="auto" w:fill="auto"/>
            <w:vAlign w:val="center"/>
          </w:tcPr>
          <w:p>
            <w:pPr>
              <w:widowControl/>
              <w:spacing w:line="360" w:lineRule="exact"/>
              <w:jc w:val="center"/>
              <w:rPr>
                <w:rFonts w:hint="eastAsia" w:ascii="Times New Roman" w:hAnsi="Times New Roman" w:eastAsia="仿宋_GB2312" w:cs="Times New Roman"/>
                <w:color w:val="auto"/>
                <w:kern w:val="0"/>
                <w:sz w:val="28"/>
                <w:szCs w:val="28"/>
                <w:highlight w:val="none"/>
                <w:lang w:val="en-US" w:eastAsia="zh-CN"/>
              </w:rPr>
            </w:pPr>
            <w:r>
              <w:rPr>
                <w:rFonts w:ascii="Times New Roman" w:hAnsi="Times New Roman" w:eastAsia="仿宋_GB2312" w:cs="Times New Roman"/>
                <w:color w:val="auto"/>
                <w:kern w:val="0"/>
                <w:sz w:val="28"/>
                <w:szCs w:val="28"/>
                <w:highlight w:val="none"/>
              </w:rPr>
              <w:t>9</w:t>
            </w:r>
            <w:r>
              <w:rPr>
                <w:rFonts w:hint="eastAsia" w:ascii="Times New Roman" w:hAnsi="Times New Roman" w:eastAsia="仿宋_GB2312" w:cs="Times New Roman"/>
                <w:color w:val="auto"/>
                <w:kern w:val="0"/>
                <w:sz w:val="28"/>
                <w:szCs w:val="28"/>
                <w:highlight w:val="none"/>
                <w:lang w:val="en-US" w:eastAsia="zh-CN"/>
              </w:rPr>
              <w:t>1</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92%</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森林覆盖率（%）</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80.3</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81</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美丽乡村（个）</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101</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省级乡村振兴先进镇（个）</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0</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2</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省级乡村振兴示范村（个）</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2</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7</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restar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农民全面发展生活富裕</w:t>
            </w: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培训高素质农民（人次）</w:t>
            </w:r>
          </w:p>
        </w:tc>
        <w:tc>
          <w:tcPr>
            <w:tcW w:w="684" w:type="pct"/>
            <w:shd w:val="clear" w:color="auto" w:fill="auto"/>
            <w:vAlign w:val="center"/>
          </w:tcPr>
          <w:p>
            <w:pPr>
              <w:widowControl/>
              <w:spacing w:line="360" w:lineRule="exact"/>
              <w:jc w:val="center"/>
              <w:rPr>
                <w:rFonts w:hint="default" w:ascii="Times New Roman" w:hAnsi="Times New Roman" w:eastAsia="仿宋_GB2312" w:cs="Times New Roman"/>
                <w:color w:val="auto"/>
                <w:kern w:val="0"/>
                <w:sz w:val="28"/>
                <w:szCs w:val="28"/>
                <w:highlight w:val="none"/>
                <w:lang w:val="en-US" w:eastAsia="zh-CN"/>
              </w:rPr>
            </w:pPr>
            <w:r>
              <w:rPr>
                <w:rFonts w:hint="eastAsia" w:ascii="Times New Roman" w:hAnsi="Times New Roman" w:eastAsia="仿宋_GB2312" w:cs="Times New Roman"/>
                <w:color w:val="auto"/>
                <w:kern w:val="0"/>
                <w:sz w:val="28"/>
                <w:szCs w:val="28"/>
                <w:highlight w:val="none"/>
                <w:lang w:val="en-US" w:eastAsia="zh-CN"/>
              </w:rPr>
              <w:t>115</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250</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农村居民人均可支配收入（元）</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16670</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25649</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66" w:type="pct"/>
            <w:vMerge w:val="continue"/>
            <w:shd w:val="clear" w:color="auto" w:fill="auto"/>
            <w:vAlign w:val="center"/>
          </w:tcPr>
          <w:p>
            <w:pPr>
              <w:widowControl/>
              <w:spacing w:line="360" w:lineRule="exact"/>
              <w:jc w:val="left"/>
              <w:rPr>
                <w:rFonts w:ascii="Times New Roman" w:hAnsi="Times New Roman" w:eastAsia="仿宋_GB2312" w:cs="Times New Roman"/>
                <w:color w:val="auto"/>
                <w:kern w:val="0"/>
                <w:sz w:val="28"/>
                <w:szCs w:val="28"/>
                <w:highlight w:val="none"/>
              </w:rPr>
            </w:pPr>
          </w:p>
        </w:tc>
        <w:tc>
          <w:tcPr>
            <w:tcW w:w="2310"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城乡居民收入比</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2.21:1</w:t>
            </w:r>
          </w:p>
        </w:tc>
        <w:tc>
          <w:tcPr>
            <w:tcW w:w="68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2.11:1</w:t>
            </w:r>
          </w:p>
        </w:tc>
        <w:tc>
          <w:tcPr>
            <w:tcW w:w="654" w:type="pct"/>
            <w:shd w:val="clear" w:color="auto" w:fill="auto"/>
            <w:vAlign w:val="center"/>
          </w:tcPr>
          <w:p>
            <w:pPr>
              <w:widowControl/>
              <w:spacing w:line="360" w:lineRule="exact"/>
              <w:jc w:val="center"/>
              <w:rPr>
                <w:rFonts w:ascii="Times New Roman" w:hAnsi="Times New Roman" w:eastAsia="仿宋_GB2312" w:cs="Times New Roman"/>
                <w:color w:val="auto"/>
                <w:kern w:val="0"/>
                <w:sz w:val="28"/>
                <w:szCs w:val="28"/>
                <w:highlight w:val="none"/>
              </w:rPr>
            </w:pPr>
            <w:r>
              <w:rPr>
                <w:rFonts w:ascii="Times New Roman" w:hAnsi="Times New Roman" w:eastAsia="仿宋_GB2312" w:cs="Times New Roman"/>
                <w:color w:val="auto"/>
                <w:kern w:val="0"/>
                <w:sz w:val="28"/>
                <w:szCs w:val="28"/>
                <w:highlight w:val="none"/>
              </w:rPr>
              <w:t>预期性</w:t>
            </w:r>
          </w:p>
        </w:tc>
      </w:tr>
    </w:tbl>
    <w:p>
      <w:pPr>
        <w:pStyle w:val="22"/>
        <w:snapToGrid w:val="0"/>
        <w:spacing w:before="156" w:beforeLines="50" w:line="560" w:lineRule="exact"/>
        <w:ind w:firstLine="643"/>
        <w:rPr>
          <w:rFonts w:ascii="Times New Roman" w:hAnsi="Times New Roman"/>
          <w:color w:val="auto"/>
          <w:szCs w:val="32"/>
          <w:highlight w:val="none"/>
        </w:rPr>
      </w:pPr>
      <w:r>
        <w:rPr>
          <w:rFonts w:ascii="Times New Roman" w:hAnsi="Times New Roman"/>
          <w:b/>
          <w:color w:val="auto"/>
          <w:szCs w:val="32"/>
          <w:highlight w:val="none"/>
        </w:rPr>
        <w:t>远景目标：</w:t>
      </w:r>
      <w:r>
        <w:rPr>
          <w:rFonts w:ascii="Times New Roman" w:hAnsi="Times New Roman"/>
          <w:color w:val="auto"/>
          <w:szCs w:val="32"/>
          <w:highlight w:val="none"/>
        </w:rPr>
        <w:t>到2035年，荥经县现代农业整体实力、质量品牌、产业竞争力将大幅跃升，农业综合产值和农村居民人均收入将再迈上新的大台阶，现代农业科技、种业和装备实现重大突破；绿美荥经·宜居乡村目标基本实现，基本实现乡村治理体系和治理能力现代化；基本实现城乡基础设施一体化、基本公共服务均等化，城乡区域发展差距和居民生活水平差距显著缩小；农民生活更加美好，农民全面发展取得更为明显的实质性进展，农业农村基本实现现代化。</w:t>
      </w:r>
    </w:p>
    <w:p>
      <w:pPr>
        <w:pStyle w:val="4"/>
        <w:keepLines w:val="0"/>
        <w:numPr>
          <w:ilvl w:val="1"/>
          <w:numId w:val="2"/>
        </w:numPr>
        <w:spacing w:before="312" w:beforeLines="100" w:after="312" w:afterLines="100" w:line="620" w:lineRule="exact"/>
        <w:jc w:val="center"/>
        <w:rPr>
          <w:rFonts w:ascii="Times New Roman" w:hAnsi="Times New Roman" w:cs="Times New Roman"/>
          <w:b/>
          <w:bCs/>
          <w:color w:val="auto"/>
          <w:highlight w:val="none"/>
        </w:rPr>
      </w:pPr>
      <w:bookmarkStart w:id="205" w:name="_Toc8616"/>
      <w:bookmarkStart w:id="206" w:name="_Toc21562"/>
      <w:bookmarkStart w:id="207" w:name="_Toc75731144"/>
      <w:bookmarkStart w:id="208" w:name="_Toc1933"/>
      <w:r>
        <w:rPr>
          <w:rFonts w:ascii="Times New Roman" w:hAnsi="Times New Roman" w:cs="Times New Roman"/>
          <w:b/>
          <w:bCs/>
          <w:color w:val="auto"/>
          <w:highlight w:val="none"/>
        </w:rPr>
        <w:t>总体布局</w:t>
      </w:r>
      <w:bookmarkEnd w:id="205"/>
      <w:bookmarkEnd w:id="206"/>
      <w:bookmarkEnd w:id="207"/>
      <w:bookmarkEnd w:id="208"/>
    </w:p>
    <w:p>
      <w:pPr>
        <w:pStyle w:val="22"/>
        <w:snapToGrid w:val="0"/>
        <w:spacing w:line="560" w:lineRule="exact"/>
        <w:ind w:firstLine="640"/>
        <w:rPr>
          <w:rFonts w:ascii="Times New Roman" w:hAnsi="Times New Roman"/>
          <w:color w:val="auto"/>
          <w:szCs w:val="32"/>
          <w:highlight w:val="none"/>
        </w:rPr>
      </w:pPr>
      <w:r>
        <w:rPr>
          <w:rFonts w:ascii="Times New Roman" w:hAnsi="Times New Roman"/>
          <w:color w:val="auto"/>
          <w:szCs w:val="32"/>
          <w:highlight w:val="none"/>
        </w:rPr>
        <w:t>以产业发展为导向，不断优化农业空间布局，推进资源要素向优势产区集聚，着力提升打造西北部片区茶叶产业优势产区，西部片区中药材优势产区，东部、南部片区林竹果蔬产业优势产区，</w:t>
      </w:r>
      <w:r>
        <w:rPr>
          <w:rFonts w:hint="eastAsia" w:ascii="Times New Roman" w:hAnsi="Times New Roman"/>
          <w:color w:val="auto"/>
          <w:szCs w:val="32"/>
          <w:highlight w:val="none"/>
        </w:rPr>
        <w:t>以及</w:t>
      </w:r>
      <w:r>
        <w:rPr>
          <w:rFonts w:ascii="Times New Roman" w:hAnsi="Times New Roman"/>
          <w:color w:val="auto"/>
          <w:szCs w:val="32"/>
          <w:highlight w:val="none"/>
        </w:rPr>
        <w:t>宝峰-新添茶产业园</w:t>
      </w:r>
      <w:r>
        <w:rPr>
          <w:rFonts w:hint="eastAsia" w:ascii="Times New Roman" w:hAnsi="Times New Roman"/>
          <w:color w:val="auto"/>
          <w:szCs w:val="32"/>
          <w:highlight w:val="none"/>
        </w:rPr>
        <w:t>、</w:t>
      </w:r>
      <w:r>
        <w:rPr>
          <w:rFonts w:ascii="Times New Roman" w:hAnsi="Times New Roman"/>
          <w:color w:val="auto"/>
          <w:szCs w:val="32"/>
          <w:highlight w:val="none"/>
        </w:rPr>
        <w:t>龙苍沟-青龙-五宪林竹产业园</w:t>
      </w:r>
      <w:r>
        <w:rPr>
          <w:rFonts w:hint="eastAsia" w:ascii="Times New Roman" w:hAnsi="Times New Roman"/>
          <w:color w:val="auto"/>
          <w:szCs w:val="32"/>
          <w:highlight w:val="none"/>
        </w:rPr>
        <w:t>、</w:t>
      </w:r>
      <w:r>
        <w:rPr>
          <w:rFonts w:ascii="Times New Roman" w:hAnsi="Times New Roman"/>
          <w:color w:val="auto"/>
          <w:szCs w:val="32"/>
          <w:highlight w:val="none"/>
        </w:rPr>
        <w:t>泗坪中药材产业园</w:t>
      </w:r>
      <w:r>
        <w:rPr>
          <w:rFonts w:hint="eastAsia" w:ascii="Times New Roman" w:hAnsi="Times New Roman"/>
          <w:color w:val="auto"/>
          <w:szCs w:val="32"/>
          <w:highlight w:val="none"/>
        </w:rPr>
        <w:t>、</w:t>
      </w:r>
      <w:r>
        <w:rPr>
          <w:rFonts w:ascii="Times New Roman" w:hAnsi="Times New Roman"/>
          <w:color w:val="auto"/>
          <w:szCs w:val="32"/>
          <w:highlight w:val="none"/>
        </w:rPr>
        <w:t>五宪农产品深加工园和荥河生猪产业园</w:t>
      </w:r>
      <w:r>
        <w:rPr>
          <w:rFonts w:hint="eastAsia" w:ascii="Times New Roman" w:hAnsi="Times New Roman"/>
          <w:color w:val="auto"/>
          <w:szCs w:val="32"/>
          <w:highlight w:val="none"/>
        </w:rPr>
        <w:t>五大产业园</w:t>
      </w:r>
      <w:r>
        <w:rPr>
          <w:rFonts w:ascii="Times New Roman" w:hAnsi="Times New Roman"/>
          <w:color w:val="auto"/>
          <w:szCs w:val="32"/>
          <w:highlight w:val="none"/>
        </w:rPr>
        <w:t>，逐步构建起3区5园空间结构，形成荥经“点上出彩、线上成景、面上开花”的农业产业发展新格局。</w:t>
      </w:r>
    </w:p>
    <w:p>
      <w:pPr>
        <w:pStyle w:val="22"/>
        <w:snapToGrid w:val="0"/>
        <w:spacing w:line="560" w:lineRule="exact"/>
        <w:ind w:firstLine="643"/>
        <w:rPr>
          <w:rFonts w:ascii="Times New Roman" w:hAnsi="Times New Roman"/>
          <w:color w:val="auto"/>
          <w:szCs w:val="32"/>
          <w:highlight w:val="none"/>
        </w:rPr>
      </w:pPr>
      <w:bookmarkStart w:id="209" w:name="_Toc58250619"/>
      <w:bookmarkStart w:id="210" w:name="_Toc58250620"/>
      <w:r>
        <w:rPr>
          <w:rFonts w:hint="eastAsia" w:ascii="Times New Roman" w:hAnsi="Times New Roman"/>
          <w:b/>
          <w:bCs/>
          <w:color w:val="auto"/>
          <w:szCs w:val="32"/>
          <w:highlight w:val="none"/>
        </w:rPr>
        <w:t>做强西北部片区</w:t>
      </w:r>
      <w:r>
        <w:rPr>
          <w:rFonts w:ascii="Times New Roman" w:hAnsi="Times New Roman"/>
          <w:b/>
          <w:color w:val="auto"/>
          <w:szCs w:val="32"/>
          <w:highlight w:val="none"/>
        </w:rPr>
        <w:t>茶叶优势产区。</w:t>
      </w:r>
      <w:r>
        <w:rPr>
          <w:rFonts w:ascii="Times New Roman" w:hAnsi="Times New Roman"/>
          <w:color w:val="auto"/>
          <w:szCs w:val="32"/>
          <w:highlight w:val="none"/>
        </w:rPr>
        <w:t>以新添镇、宝峰彝族乡、民建彝族乡、荥河镇、牛背山镇为茶叶核心种植区，辐射带动严道街道、花滩镇等街道（乡镇），着力构建高山生态茶产业优势区。以创建省星级农业园区为目标，以基地建设、良种推广、产品加工、品牌打造、质量保障为主要抓手，大力发展绿色茶叶、有机茶叶。以荥泰茶、塔山茶为重点，完善茶叶产地加工布局，提升建设茶产业加工园区。支持沿荥天路和天宝绿道打造茶文旅融合旅游线，有机串联南路边茶文化非遗传承博物馆、茶马驿站、天池新村、西康民盟遗址、彝家新寨、邓通城遗址等重要点位，打造一条有荥经特色的茶文旅融合环线。支持大相岭茶马打造文化体验区</w:t>
      </w:r>
      <w:r>
        <w:rPr>
          <w:rFonts w:hint="eastAsia" w:ascii="Times New Roman" w:hAnsi="Times New Roman"/>
          <w:color w:val="auto"/>
          <w:szCs w:val="32"/>
          <w:highlight w:val="none"/>
        </w:rPr>
        <w:t>建设</w:t>
      </w:r>
      <w:r>
        <w:rPr>
          <w:rFonts w:ascii="Times New Roman" w:hAnsi="Times New Roman"/>
          <w:color w:val="auto"/>
          <w:szCs w:val="32"/>
          <w:highlight w:val="none"/>
        </w:rPr>
        <w:t>，支持新添、荥河、宝峰、民建、牛背山镇等乡镇打造茶产业中心镇和茶旅融合发展特色乡镇，推进茶产业、茶经济和茶文化协调发展，提升荥经茶叶综合影响力，把荥经县打造成为雅安高山有机小叶种茶叶生产、贸易、科研和文化交流的重要基地。到2025年，全县茶产业种植面积突破15万亩。</w:t>
      </w:r>
    </w:p>
    <w:p>
      <w:pPr>
        <w:pStyle w:val="22"/>
        <w:snapToGrid w:val="0"/>
        <w:spacing w:line="560" w:lineRule="exact"/>
        <w:ind w:firstLine="643"/>
        <w:rPr>
          <w:rFonts w:ascii="Times New Roman" w:hAnsi="Times New Roman"/>
          <w:b/>
          <w:color w:val="auto"/>
          <w:szCs w:val="32"/>
          <w:highlight w:val="none"/>
        </w:rPr>
      </w:pPr>
      <w:r>
        <w:rPr>
          <w:rFonts w:hint="eastAsia" w:ascii="Times New Roman" w:hAnsi="Times New Roman"/>
          <w:b/>
          <w:color w:val="auto"/>
          <w:szCs w:val="32"/>
          <w:highlight w:val="none"/>
        </w:rPr>
        <w:t>做优西部片区</w:t>
      </w:r>
      <w:r>
        <w:rPr>
          <w:rFonts w:ascii="Times New Roman" w:hAnsi="Times New Roman"/>
          <w:b/>
          <w:color w:val="auto"/>
          <w:szCs w:val="32"/>
          <w:highlight w:val="none"/>
        </w:rPr>
        <w:t>中药材</w:t>
      </w:r>
      <w:bookmarkEnd w:id="209"/>
      <w:r>
        <w:rPr>
          <w:rFonts w:ascii="Times New Roman" w:hAnsi="Times New Roman"/>
          <w:b/>
          <w:color w:val="auto"/>
          <w:szCs w:val="32"/>
          <w:highlight w:val="none"/>
        </w:rPr>
        <w:t>优势产区。</w:t>
      </w:r>
      <w:r>
        <w:rPr>
          <w:rFonts w:ascii="Times New Roman" w:hAnsi="Times New Roman"/>
          <w:color w:val="auto"/>
          <w:szCs w:val="32"/>
          <w:highlight w:val="none"/>
        </w:rPr>
        <w:t>主要以泗坪乡为中心，联接牛背山镇、安靖乡、荥河镇，结合大熊猫国家公园的生态保护要求以及荥经县生态保护红线的相关规定，适度布局发展以川黄柏和天麻为主的木本和草本道地中药材产业。坚持走规模化种植、标准化管理、集约化经营的发展道路，狠抓基地建设、龙头培育、产业融合等关键环节，推广应用先进种植技术，大力发展林下种养经济。重点推进泗坪乡中药材产业园区建设，加快创新产品研发，强化荥经“天麻品牌”建设。推进中药材与旅游产业融合，打造中医药康养圣地，做大做强、做深、做精荥经县中药材产业。到2025年，全县中药材产业种植面积达25万亩。</w:t>
      </w:r>
      <w:bookmarkStart w:id="211" w:name="_Toc58250617"/>
    </w:p>
    <w:p>
      <w:pPr>
        <w:pStyle w:val="22"/>
        <w:snapToGrid w:val="0"/>
        <w:spacing w:line="560" w:lineRule="exact"/>
        <w:ind w:firstLine="643"/>
        <w:rPr>
          <w:rFonts w:ascii="Times New Roman" w:hAnsi="Times New Roman"/>
          <w:color w:val="auto"/>
          <w:szCs w:val="32"/>
          <w:highlight w:val="none"/>
        </w:rPr>
      </w:pPr>
      <w:r>
        <w:rPr>
          <w:rFonts w:hint="eastAsia" w:ascii="Times New Roman" w:hAnsi="Times New Roman"/>
          <w:b/>
          <w:color w:val="auto"/>
          <w:szCs w:val="32"/>
          <w:highlight w:val="none"/>
        </w:rPr>
        <w:t>做大东部、南部片区</w:t>
      </w:r>
      <w:r>
        <w:rPr>
          <w:rFonts w:ascii="Times New Roman" w:hAnsi="Times New Roman"/>
          <w:b/>
          <w:color w:val="auto"/>
          <w:szCs w:val="32"/>
          <w:highlight w:val="none"/>
        </w:rPr>
        <w:t>林竹果蔬优势产区。</w:t>
      </w:r>
      <w:r>
        <w:rPr>
          <w:rFonts w:ascii="Times New Roman" w:hAnsi="Times New Roman"/>
          <w:color w:val="auto"/>
          <w:szCs w:val="32"/>
          <w:highlight w:val="none"/>
        </w:rPr>
        <w:t>主要以青龙镇、龙苍沟镇、五宪镇等乡镇为核心，联接安靖乡、花滩镇、严道街道、新添镇，发展</w:t>
      </w:r>
      <w:r>
        <w:rPr>
          <w:rFonts w:hint="eastAsia" w:ascii="Times New Roman" w:hAnsi="Times New Roman"/>
          <w:color w:val="auto"/>
          <w:szCs w:val="32"/>
          <w:highlight w:val="none"/>
        </w:rPr>
        <w:t>绿色生态</w:t>
      </w:r>
      <w:r>
        <w:rPr>
          <w:rFonts w:ascii="Times New Roman" w:hAnsi="Times New Roman"/>
          <w:color w:val="auto"/>
          <w:szCs w:val="32"/>
          <w:highlight w:val="none"/>
        </w:rPr>
        <w:t>林竹和果蔬。着力推进笋用方竹、蔬菜、小水果等现代农（林）业园区建设，完善精深加工链条，提升打造林竹、农旅融合示范点，构建完善东部林竹果蔬产业片区。通过核心片区提质增效示范，辐射带动周边林竹果蔬相关产业的发展，重点打造公路沿线重要景观节点，串联起一条集宗教文化、生态环境、历史古村落、天然湿地、亲水游乐设施于一体的生态休闲产业环线，凸显农文旅联动发展效应。到2025年，全县竹产业种植基地达50万亩、优质蔬菜基地面积达4万亩，高标准小水果产业基地面积达1万亩。</w:t>
      </w:r>
    </w:p>
    <w:bookmarkEnd w:id="210"/>
    <w:bookmarkEnd w:id="211"/>
    <w:p>
      <w:pPr>
        <w:pStyle w:val="22"/>
        <w:snapToGrid w:val="0"/>
        <w:spacing w:line="560" w:lineRule="exact"/>
        <w:ind w:firstLine="643"/>
        <w:rPr>
          <w:rFonts w:ascii="Times New Roman" w:hAnsi="Times New Roman"/>
          <w:bCs/>
          <w:color w:val="auto"/>
          <w:szCs w:val="32"/>
          <w:highlight w:val="none"/>
        </w:rPr>
      </w:pPr>
      <w:bookmarkStart w:id="212" w:name="_Toc29790"/>
      <w:bookmarkStart w:id="213" w:name="_Toc26958"/>
      <w:bookmarkStart w:id="214" w:name="_Toc59541179"/>
      <w:bookmarkStart w:id="215" w:name="_Toc14060"/>
      <w:bookmarkStart w:id="216" w:name="_Toc25147"/>
      <w:r>
        <w:rPr>
          <w:rFonts w:hint="eastAsia" w:ascii="Times New Roman" w:hAnsi="Times New Roman"/>
          <w:b/>
          <w:bCs/>
          <w:color w:val="auto"/>
          <w:szCs w:val="32"/>
          <w:highlight w:val="none"/>
        </w:rPr>
        <w:t>做实全域</w:t>
      </w:r>
      <w:r>
        <w:rPr>
          <w:rFonts w:ascii="Times New Roman" w:hAnsi="Times New Roman"/>
          <w:b/>
          <w:bCs/>
          <w:color w:val="auto"/>
          <w:szCs w:val="32"/>
          <w:highlight w:val="none"/>
        </w:rPr>
        <w:t>现代农业</w:t>
      </w:r>
      <w:r>
        <w:rPr>
          <w:rFonts w:hint="eastAsia" w:ascii="Times New Roman" w:hAnsi="Times New Roman"/>
          <w:b/>
          <w:bCs/>
          <w:color w:val="auto"/>
          <w:szCs w:val="32"/>
          <w:highlight w:val="none"/>
        </w:rPr>
        <w:t>产业</w:t>
      </w:r>
      <w:r>
        <w:rPr>
          <w:rFonts w:ascii="Times New Roman" w:hAnsi="Times New Roman"/>
          <w:b/>
          <w:bCs/>
          <w:color w:val="auto"/>
          <w:szCs w:val="32"/>
          <w:highlight w:val="none"/>
        </w:rPr>
        <w:t>园区</w:t>
      </w:r>
      <w:bookmarkEnd w:id="212"/>
      <w:bookmarkEnd w:id="213"/>
      <w:bookmarkEnd w:id="214"/>
      <w:bookmarkEnd w:id="215"/>
      <w:bookmarkEnd w:id="216"/>
      <w:r>
        <w:rPr>
          <w:rFonts w:hint="eastAsia" w:ascii="Times New Roman" w:hAnsi="Times New Roman"/>
          <w:b/>
          <w:bCs/>
          <w:color w:val="auto"/>
          <w:szCs w:val="32"/>
          <w:highlight w:val="none"/>
        </w:rPr>
        <w:t>。</w:t>
      </w:r>
      <w:r>
        <w:rPr>
          <w:rFonts w:ascii="Times New Roman" w:hAnsi="Times New Roman"/>
          <w:color w:val="auto"/>
          <w:szCs w:val="32"/>
          <w:highlight w:val="none"/>
        </w:rPr>
        <w:t>按照高起点、高标准、高质量的要求，优化产业结构和区域布局，</w:t>
      </w:r>
      <w:r>
        <w:rPr>
          <w:rFonts w:ascii="Times New Roman" w:hAnsi="Times New Roman"/>
          <w:bCs/>
          <w:color w:val="auto"/>
          <w:szCs w:val="32"/>
          <w:highlight w:val="none"/>
        </w:rPr>
        <w:t>构建省级到县级的农业园区梯次发展体系。按照“一乡一特色”的思路，做优做强茶叶、中药材、林竹和生猪4大支柱产业，加快发展黄牛、冷水鱼、生</w:t>
      </w:r>
      <w:r>
        <w:rPr>
          <w:rFonts w:ascii="Times New Roman" w:hAnsi="Times New Roman"/>
          <w:color w:val="auto"/>
          <w:szCs w:val="32"/>
          <w:highlight w:val="none"/>
        </w:rPr>
        <w:t>态蔬菜、高山蜂蜜4大成长性产业。重点打造宝峰-新添茶产业园区、龙苍沟-青龙-五宪竹产业园区、泗坪中药材产业园区、五宪农产品深加工园区和荥河生猪产业园区五大园区5大现代农业产业园区，到2025年，实现现代农（林）业园区全域覆盖，推动茶产业园区、林竹产业园区争创省级现代农业园区，中药材产业园区、农产品深加工园区、生猪产业园区争创市级现代农业园区。合理布局种养循环、加工物流、科技研发、休闲旅游等功能板块，支持种</w:t>
      </w:r>
      <w:r>
        <w:rPr>
          <w:rFonts w:ascii="Times New Roman" w:hAnsi="Times New Roman"/>
          <w:bCs/>
          <w:color w:val="auto"/>
          <w:szCs w:val="32"/>
          <w:highlight w:val="none"/>
        </w:rPr>
        <w:t>养循环立体农业发展，建成荥经循环农业生态园、高山黄牛农场、生猪养殖基地和冷水鱼养殖基地，实现产业集中集约集群发</w:t>
      </w:r>
      <w:r>
        <w:rPr>
          <w:rFonts w:hint="eastAsia" w:ascii="Times New Roman" w:hAnsi="Times New Roman"/>
          <w:bCs/>
          <w:color w:val="auto"/>
          <w:szCs w:val="32"/>
          <w:highlight w:val="none"/>
        </w:rPr>
        <w:t>展。</w:t>
      </w:r>
    </w:p>
    <w:p>
      <w:pPr>
        <w:widowControl/>
        <w:spacing w:line="560" w:lineRule="exact"/>
        <w:jc w:val="left"/>
        <w:rPr>
          <w:rFonts w:ascii="Times New Roman" w:hAnsi="Times New Roman" w:cs="Times New Roman"/>
          <w:color w:val="auto"/>
          <w:highlight w:val="none"/>
        </w:rPr>
        <w:sectPr>
          <w:footerReference r:id="rId6" w:type="default"/>
          <w:pgSz w:w="11906" w:h="16838"/>
          <w:pgMar w:top="1440" w:right="1797" w:bottom="1440" w:left="1797" w:header="720" w:footer="720" w:gutter="0"/>
          <w:pgNumType w:start="1"/>
          <w:cols w:space="720" w:num="1"/>
          <w:docGrid w:type="lines" w:linePitch="312" w:charSpace="0"/>
        </w:sectPr>
      </w:pPr>
      <w:r>
        <w:rPr>
          <w:rFonts w:ascii="Times New Roman" w:hAnsi="Times New Roman" w:eastAsia="仿宋" w:cs="Times New Roman"/>
          <w:bCs/>
          <w:color w:val="auto"/>
          <w:szCs w:val="32"/>
          <w:highlight w:val="none"/>
        </w:rPr>
        <w:br w:type="page"/>
      </w:r>
    </w:p>
    <w:p>
      <w:pPr>
        <w:numPr>
          <w:ilvl w:val="0"/>
          <w:numId w:val="1"/>
        </w:numPr>
        <w:spacing w:line="620" w:lineRule="exact"/>
        <w:jc w:val="center"/>
        <w:outlineLvl w:val="0"/>
        <w:rPr>
          <w:rFonts w:ascii="Times New Roman" w:hAnsi="Times New Roman" w:eastAsia="方正小标宋简体" w:cs="Times New Roman"/>
          <w:b/>
          <w:bCs/>
          <w:color w:val="auto"/>
          <w:sz w:val="44"/>
          <w:szCs w:val="44"/>
          <w:highlight w:val="none"/>
        </w:rPr>
      </w:pPr>
      <w:bookmarkStart w:id="217" w:name="_Toc18468"/>
      <w:bookmarkStart w:id="218" w:name="_Toc6033"/>
      <w:bookmarkStart w:id="219" w:name="_Toc17731"/>
      <w:bookmarkStart w:id="220" w:name="_Toc75731145"/>
      <w:r>
        <w:rPr>
          <w:rFonts w:ascii="Times New Roman" w:hAnsi="Times New Roman" w:eastAsia="方正小标宋简体" w:cs="Times New Roman"/>
          <w:b/>
          <w:bCs/>
          <w:color w:val="auto"/>
          <w:sz w:val="44"/>
          <w:szCs w:val="44"/>
          <w:highlight w:val="none"/>
        </w:rPr>
        <w:t>健全“4+4”现代农业体系，推动农业高质量发展</w:t>
      </w:r>
      <w:bookmarkEnd w:id="217"/>
      <w:bookmarkEnd w:id="218"/>
      <w:bookmarkEnd w:id="219"/>
      <w:bookmarkEnd w:id="220"/>
    </w:p>
    <w:p>
      <w:pPr>
        <w:snapToGrid w:val="0"/>
        <w:spacing w:line="560" w:lineRule="exact"/>
        <w:ind w:firstLine="640" w:firstLineChars="200"/>
        <w:rPr>
          <w:rFonts w:ascii="Times New Roman" w:hAnsi="Times New Roman" w:eastAsia="仿宋_GB2312" w:cs="Times New Roman"/>
          <w:bCs/>
          <w:color w:val="auto"/>
          <w:sz w:val="32"/>
          <w:szCs w:val="32"/>
          <w:highlight w:val="none"/>
          <w:lang w:val="sq-AL"/>
        </w:rPr>
      </w:pPr>
    </w:p>
    <w:p>
      <w:pPr>
        <w:snapToGrid w:val="0"/>
        <w:spacing w:line="560" w:lineRule="exact"/>
        <w:ind w:firstLine="640" w:firstLineChars="200"/>
        <w:rPr>
          <w:rFonts w:ascii="Times New Roman" w:hAnsi="Times New Roman" w:eastAsia="仿宋_GB2312" w:cs="Times New Roman"/>
          <w:bCs/>
          <w:color w:val="auto"/>
          <w:sz w:val="32"/>
          <w:szCs w:val="32"/>
          <w:highlight w:val="none"/>
          <w:lang w:val="sq-AL"/>
        </w:rPr>
      </w:pPr>
      <w:r>
        <w:rPr>
          <w:rFonts w:ascii="Times New Roman" w:hAnsi="Times New Roman" w:eastAsia="仿宋_GB2312" w:cs="Times New Roman"/>
          <w:bCs/>
          <w:color w:val="auto"/>
          <w:sz w:val="32"/>
          <w:szCs w:val="32"/>
          <w:highlight w:val="none"/>
          <w:lang w:val="sq-AL"/>
        </w:rPr>
        <w:t>以构建“4+4”现代绿色农业体系为目标，紧紧围绕茶叶、生猪、林竹、中药材4大支柱型产业，黄牛、冷水鱼、生态蔬菜、高山蜂蜜4大特色成长型产业开展长远谋划，推动农业“规模化、标准化、市场化”三化促动、“品种、品质、品牌”三品提升和三产融合，建设全省茶产业重点县、全省中药材产业重点县，建成全省竹产业高质量发展示范县，加快建设成渝地区特色有机产品供给基地，为全面建设农业农村现代化开好局、起好步。力争到2025年，实现农业增加值</w:t>
      </w:r>
      <w:r>
        <w:rPr>
          <w:rFonts w:ascii="Times New Roman" w:hAnsi="Times New Roman" w:eastAsia="仿宋_GB2312" w:cs="Times New Roman"/>
          <w:bCs/>
          <w:color w:val="auto"/>
          <w:sz w:val="32"/>
          <w:szCs w:val="32"/>
          <w:highlight w:val="none"/>
        </w:rPr>
        <w:t>18</w:t>
      </w:r>
      <w:r>
        <w:rPr>
          <w:rFonts w:ascii="Times New Roman" w:hAnsi="Times New Roman" w:eastAsia="仿宋_GB2312" w:cs="Times New Roman"/>
          <w:bCs/>
          <w:color w:val="auto"/>
          <w:sz w:val="32"/>
          <w:szCs w:val="32"/>
          <w:highlight w:val="none"/>
          <w:lang w:val="sq-AL"/>
        </w:rPr>
        <w:t>亿元以上，农业增加值年均增长5%以上，农产品加工业与农业总产值比达到16.7%。</w:t>
      </w:r>
    </w:p>
    <w:p>
      <w:pPr>
        <w:pStyle w:val="4"/>
        <w:keepLines w:val="0"/>
        <w:numPr>
          <w:ilvl w:val="1"/>
          <w:numId w:val="3"/>
        </w:numPr>
        <w:spacing w:before="312" w:beforeLines="100" w:after="312" w:afterLines="100" w:line="620" w:lineRule="exact"/>
        <w:jc w:val="center"/>
        <w:rPr>
          <w:rFonts w:ascii="Times New Roman" w:hAnsi="Times New Roman" w:cs="Times New Roman"/>
          <w:b/>
          <w:bCs/>
          <w:color w:val="auto"/>
          <w:highlight w:val="none"/>
        </w:rPr>
      </w:pPr>
      <w:bookmarkStart w:id="221" w:name="_Toc1296"/>
      <w:bookmarkStart w:id="222" w:name="_Toc14079"/>
      <w:bookmarkStart w:id="223" w:name="_Toc75731146"/>
      <w:bookmarkStart w:id="224" w:name="_Toc11980"/>
      <w:r>
        <w:rPr>
          <w:rFonts w:hint="eastAsia" w:ascii="Times New Roman" w:hAnsi="Times New Roman" w:cs="Times New Roman"/>
          <w:b/>
          <w:bCs/>
          <w:color w:val="auto"/>
          <w:highlight w:val="none"/>
        </w:rPr>
        <w:t>深度</w:t>
      </w:r>
      <w:r>
        <w:rPr>
          <w:rFonts w:ascii="Times New Roman" w:hAnsi="Times New Roman" w:cs="Times New Roman"/>
          <w:b/>
          <w:bCs/>
          <w:color w:val="auto"/>
          <w:highlight w:val="none"/>
        </w:rPr>
        <w:t>融合发展茶产业</w:t>
      </w:r>
      <w:bookmarkEnd w:id="221"/>
      <w:bookmarkEnd w:id="222"/>
      <w:bookmarkEnd w:id="223"/>
      <w:bookmarkEnd w:id="224"/>
    </w:p>
    <w:p>
      <w:pPr>
        <w:snapToGrid w:val="0"/>
        <w:spacing w:line="560" w:lineRule="exact"/>
        <w:ind w:firstLine="640"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围绕产业提质增效目标，继续夯实茶叶原料生产的规模和品质基础，聚焦解决茶产业龙头不强、品牌不响、茶旅不旺等短板问题，实施茶叶基地升级、企业转型、品牌升级、茶旅融合，走内涵式茶产业扩张道路，加快推进现代茶叶基地升级，大力培育茶产业品牌，推动涉茶产业融合发展，增强茶叶发展支撑能力。到2025年，茶产业结构明显优化，茶旅融合深度发展，综合效益明显提升，茶叶种植面积达15万亩，产量达到5000吨以上，实现产值8亿元。</w:t>
      </w:r>
    </w:p>
    <w:p>
      <w:pPr>
        <w:pStyle w:val="22"/>
        <w:snapToGrid w:val="0"/>
        <w:spacing w:line="560" w:lineRule="exact"/>
        <w:ind w:firstLine="643"/>
        <w:outlineLvl w:val="9"/>
        <w:rPr>
          <w:rFonts w:ascii="Times New Roman" w:hAnsi="Times New Roman"/>
          <w:color w:val="auto"/>
          <w:szCs w:val="32"/>
          <w:highlight w:val="none"/>
        </w:rPr>
      </w:pPr>
      <w:bookmarkStart w:id="225" w:name="_Toc29968"/>
      <w:r>
        <w:rPr>
          <w:rFonts w:ascii="Times New Roman" w:hAnsi="Times New Roman"/>
          <w:b/>
          <w:color w:val="auto"/>
          <w:szCs w:val="32"/>
          <w:highlight w:val="none"/>
        </w:rPr>
        <w:t>茶园扩面提质工程</w:t>
      </w:r>
      <w:bookmarkEnd w:id="225"/>
      <w:r>
        <w:rPr>
          <w:rFonts w:hint="eastAsia" w:ascii="Times New Roman" w:hAnsi="Times New Roman"/>
          <w:b/>
          <w:color w:val="auto"/>
          <w:szCs w:val="32"/>
          <w:highlight w:val="none"/>
        </w:rPr>
        <w:t>。</w:t>
      </w:r>
      <w:r>
        <w:rPr>
          <w:rFonts w:ascii="Times New Roman" w:hAnsi="Times New Roman"/>
          <w:b/>
          <w:bCs/>
          <w:color w:val="auto"/>
          <w:szCs w:val="32"/>
          <w:highlight w:val="none"/>
        </w:rPr>
        <w:t>一是培育创建省星级现代茶叶园区。</w:t>
      </w:r>
      <w:r>
        <w:rPr>
          <w:rFonts w:ascii="Times New Roman" w:hAnsi="Times New Roman"/>
          <w:bCs/>
          <w:color w:val="auto"/>
          <w:szCs w:val="32"/>
          <w:highlight w:val="none"/>
        </w:rPr>
        <w:t>对标省星级园区创建标准，坚持绿色、有机发展理念，完善园区基地标准化建设，</w:t>
      </w:r>
      <w:r>
        <w:rPr>
          <w:rFonts w:hint="eastAsia" w:ascii="Times New Roman" w:hAnsi="Times New Roman"/>
          <w:bCs/>
          <w:color w:val="auto"/>
          <w:szCs w:val="32"/>
          <w:highlight w:val="none"/>
        </w:rPr>
        <w:t>成</w:t>
      </w:r>
      <w:r>
        <w:rPr>
          <w:rFonts w:ascii="Times New Roman" w:hAnsi="Times New Roman"/>
          <w:bCs/>
          <w:color w:val="auto"/>
          <w:szCs w:val="32"/>
          <w:highlight w:val="none"/>
        </w:rPr>
        <w:t>立优质茶种植合作社联盟，从种植方式、田间管理、采收、贮运方式等方面统一</w:t>
      </w:r>
      <w:r>
        <w:rPr>
          <w:rFonts w:hint="eastAsia" w:ascii="Times New Roman" w:hAnsi="Times New Roman"/>
          <w:bCs/>
          <w:color w:val="auto"/>
          <w:szCs w:val="32"/>
          <w:highlight w:val="none"/>
        </w:rPr>
        <w:t>标准化</w:t>
      </w:r>
      <w:r>
        <w:rPr>
          <w:rFonts w:ascii="Times New Roman" w:hAnsi="Times New Roman"/>
          <w:bCs/>
          <w:color w:val="auto"/>
          <w:szCs w:val="32"/>
          <w:highlight w:val="none"/>
        </w:rPr>
        <w:t>生产经营，推进茶叶全产业链建设，</w:t>
      </w:r>
      <w:r>
        <w:rPr>
          <w:rFonts w:hint="eastAsia" w:ascii="Times New Roman" w:hAnsi="Times New Roman"/>
          <w:bCs/>
          <w:color w:val="auto"/>
          <w:szCs w:val="32"/>
          <w:highlight w:val="none"/>
        </w:rPr>
        <w:t>强化茶叶品牌建设，</w:t>
      </w:r>
      <w:r>
        <w:rPr>
          <w:rFonts w:ascii="Times New Roman" w:hAnsi="Times New Roman"/>
          <w:bCs/>
          <w:color w:val="auto"/>
          <w:szCs w:val="32"/>
          <w:highlight w:val="none"/>
        </w:rPr>
        <w:t>建成茶叶连片核心区5000亩</w:t>
      </w:r>
      <w:r>
        <w:rPr>
          <w:rFonts w:hint="eastAsia" w:ascii="Times New Roman" w:hAnsi="Times New Roman"/>
          <w:bCs/>
          <w:color w:val="auto"/>
          <w:szCs w:val="32"/>
          <w:highlight w:val="none"/>
        </w:rPr>
        <w:t>的高质高效现代农业园区</w:t>
      </w:r>
      <w:r>
        <w:rPr>
          <w:rFonts w:ascii="Times New Roman" w:hAnsi="Times New Roman"/>
          <w:bCs/>
          <w:color w:val="auto"/>
          <w:szCs w:val="32"/>
          <w:highlight w:val="none"/>
        </w:rPr>
        <w:t>。。</w:t>
      </w:r>
      <w:r>
        <w:rPr>
          <w:rFonts w:ascii="Times New Roman" w:hAnsi="Times New Roman"/>
          <w:b/>
          <w:color w:val="auto"/>
          <w:szCs w:val="32"/>
          <w:highlight w:val="none"/>
        </w:rPr>
        <w:t>二是推进高山茶叶基地扩面。</w:t>
      </w:r>
      <w:r>
        <w:rPr>
          <w:rFonts w:ascii="Times New Roman" w:hAnsi="Times New Roman"/>
          <w:bCs/>
          <w:color w:val="auto"/>
          <w:szCs w:val="32"/>
          <w:highlight w:val="none"/>
        </w:rPr>
        <w:t>坚持科学规划、适度规模原则，充分挖掘宜茶用地潜力，在</w:t>
      </w:r>
      <w:r>
        <w:rPr>
          <w:rFonts w:hint="eastAsia" w:ascii="Times New Roman" w:hAnsi="Times New Roman"/>
          <w:bCs/>
          <w:color w:val="auto"/>
          <w:szCs w:val="32"/>
          <w:highlight w:val="none"/>
        </w:rPr>
        <w:t>以新添、宝峰、民建、荥河、花滩、牛背山等</w:t>
      </w:r>
      <w:r>
        <w:rPr>
          <w:rFonts w:ascii="Times New Roman" w:hAnsi="Times New Roman"/>
          <w:bCs/>
          <w:color w:val="auto"/>
          <w:szCs w:val="32"/>
          <w:highlight w:val="none"/>
        </w:rPr>
        <w:t>6</w:t>
      </w:r>
      <w:r>
        <w:rPr>
          <w:rFonts w:hint="eastAsia" w:ascii="Times New Roman" w:hAnsi="Times New Roman"/>
          <w:bCs/>
          <w:color w:val="auto"/>
          <w:szCs w:val="32"/>
          <w:highlight w:val="none"/>
        </w:rPr>
        <w:t>个乡镇</w:t>
      </w:r>
      <w:r>
        <w:rPr>
          <w:rFonts w:ascii="Times New Roman" w:hAnsi="Times New Roman"/>
          <w:bCs/>
          <w:color w:val="auto"/>
          <w:szCs w:val="32"/>
          <w:highlight w:val="none"/>
        </w:rPr>
        <w:t>新扩茶园基地</w:t>
      </w:r>
      <w:r>
        <w:rPr>
          <w:rFonts w:hint="eastAsia" w:ascii="Times New Roman" w:hAnsi="Times New Roman"/>
          <w:bCs/>
          <w:color w:val="auto"/>
          <w:szCs w:val="32"/>
          <w:highlight w:val="none"/>
        </w:rPr>
        <w:t>，打造一条茶叶集中连片综合发展带；同时，在牛背山、荥河等乡镇的海拔</w:t>
      </w:r>
      <w:r>
        <w:rPr>
          <w:rFonts w:ascii="Times New Roman" w:hAnsi="Times New Roman"/>
          <w:bCs/>
          <w:color w:val="auto"/>
          <w:szCs w:val="32"/>
          <w:highlight w:val="none"/>
        </w:rPr>
        <w:t>900</w:t>
      </w:r>
      <w:r>
        <w:rPr>
          <w:rFonts w:hint="eastAsia" w:ascii="Times New Roman" w:hAnsi="Times New Roman"/>
          <w:bCs/>
          <w:color w:val="auto"/>
          <w:szCs w:val="32"/>
          <w:highlight w:val="none"/>
        </w:rPr>
        <w:t>至</w:t>
      </w:r>
      <w:r>
        <w:rPr>
          <w:rFonts w:ascii="Times New Roman" w:hAnsi="Times New Roman"/>
          <w:bCs/>
          <w:color w:val="auto"/>
          <w:szCs w:val="32"/>
          <w:highlight w:val="none"/>
        </w:rPr>
        <w:t>1500</w:t>
      </w:r>
      <w:r>
        <w:rPr>
          <w:rFonts w:hint="eastAsia" w:ascii="Times New Roman" w:hAnsi="Times New Roman"/>
          <w:bCs/>
          <w:color w:val="auto"/>
          <w:szCs w:val="32"/>
          <w:highlight w:val="none"/>
        </w:rPr>
        <w:t>米范围地区，利用其优质的生态环境，新建生态高品质黄金茶种植基</w:t>
      </w:r>
      <w:r>
        <w:rPr>
          <w:rFonts w:ascii="Times New Roman" w:hAnsi="Times New Roman"/>
          <w:color w:val="auto"/>
          <w:szCs w:val="32"/>
          <w:highlight w:val="none"/>
        </w:rPr>
        <w:t>地5000亩。</w:t>
      </w:r>
      <w:r>
        <w:rPr>
          <w:rFonts w:ascii="Times New Roman" w:hAnsi="Times New Roman"/>
          <w:b/>
          <w:bCs/>
          <w:color w:val="auto"/>
          <w:szCs w:val="32"/>
          <w:highlight w:val="none"/>
        </w:rPr>
        <w:t>三是推进老旧茶园提质增产增效。</w:t>
      </w:r>
      <w:r>
        <w:rPr>
          <w:rFonts w:ascii="Times New Roman" w:hAnsi="Times New Roman"/>
          <w:color w:val="auto"/>
          <w:szCs w:val="32"/>
          <w:highlight w:val="none"/>
        </w:rPr>
        <w:t>在民建彝族乡、新添镇、宝峰彝族乡一带茶叶传统产区，重点推行推广配方施肥、节水灌溉、高产树冠培育等综合配套技术，改善茶园生态环境和生产条件，开展茶叶病虫害防治示范推广色板捕杀、灯光诱杀、生物农药防治技术、建设统防统治有机肥替代化肥等绿色防控示范面积2万亩。</w:t>
      </w:r>
      <w:r>
        <w:rPr>
          <w:rFonts w:ascii="Times New Roman" w:hAnsi="Times New Roman"/>
          <w:b/>
          <w:bCs/>
          <w:color w:val="auto"/>
          <w:szCs w:val="32"/>
          <w:highlight w:val="none"/>
        </w:rPr>
        <w:t>四是保护开发古茶树。</w:t>
      </w:r>
      <w:r>
        <w:rPr>
          <w:rFonts w:ascii="Times New Roman" w:hAnsi="Times New Roman"/>
          <w:color w:val="auto"/>
          <w:szCs w:val="32"/>
          <w:highlight w:val="none"/>
        </w:rPr>
        <w:t>对生长在荥经县区域内的野生茶树和树龄在100年以上的人工栽培型古茶树和在人工栽培型古茶园采取的单株挂牌保护，对古茶园立牌分类分级保护。开展古茶树茶叶庄园、种质资源库、种质良繁基地建设，</w:t>
      </w:r>
      <w:r>
        <w:rPr>
          <w:rFonts w:hint="eastAsia" w:ascii="Times New Roman" w:hAnsi="Times New Roman"/>
          <w:color w:val="auto"/>
          <w:szCs w:val="32"/>
          <w:highlight w:val="none"/>
        </w:rPr>
        <w:t>以及</w:t>
      </w:r>
      <w:r>
        <w:rPr>
          <w:rFonts w:ascii="Times New Roman" w:hAnsi="Times New Roman"/>
          <w:color w:val="auto"/>
          <w:szCs w:val="32"/>
          <w:highlight w:val="none"/>
        </w:rPr>
        <w:t>“荥经古树茶”品牌打造、产品开发、文化宣传、科技创新和产品质量安全追溯体系建设。</w:t>
      </w:r>
    </w:p>
    <w:p>
      <w:pPr>
        <w:snapToGrid/>
        <w:spacing w:line="240" w:lineRule="auto"/>
        <w:ind w:firstLine="642" w:firstLineChars="200"/>
        <w:rPr>
          <w:rFonts w:ascii="Times New Roman" w:hAnsi="Times New Roman" w:eastAsia="仿宋_GB2312" w:cs="Times New Roman"/>
          <w:bCs/>
          <w:color w:val="auto"/>
          <w:sz w:val="32"/>
          <w:szCs w:val="32"/>
          <w:highlight w:val="none"/>
        </w:rPr>
      </w:pPr>
      <w:bookmarkStart w:id="226" w:name="_Toc16535"/>
      <w:bookmarkStart w:id="227" w:name="_Toc32331"/>
      <w:bookmarkStart w:id="228" w:name="_Toc8305"/>
      <w:bookmarkStart w:id="229" w:name="_Toc32639"/>
      <w:r>
        <w:rPr>
          <w:rFonts w:hint="eastAsia" w:ascii="Times New Roman" w:hAnsi="Times New Roman" w:eastAsia="仿宋_GB2312" w:cs="Times New Roman"/>
          <w:b/>
          <w:bCs/>
          <w:color w:val="auto"/>
          <w:sz w:val="32"/>
          <w:szCs w:val="32"/>
          <w:highlight w:val="none"/>
        </w:rPr>
        <w:t>茶叶</w:t>
      </w:r>
      <w:bookmarkEnd w:id="226"/>
      <w:bookmarkEnd w:id="227"/>
      <w:bookmarkEnd w:id="228"/>
      <w:r>
        <w:rPr>
          <w:rFonts w:hint="eastAsia" w:ascii="Times New Roman" w:hAnsi="Times New Roman" w:eastAsia="仿宋_GB2312" w:cs="Times New Roman"/>
          <w:b/>
          <w:bCs/>
          <w:color w:val="auto"/>
          <w:sz w:val="32"/>
          <w:szCs w:val="32"/>
          <w:highlight w:val="none"/>
        </w:rPr>
        <w:t>全产业链拓展工程</w:t>
      </w:r>
      <w:bookmarkEnd w:id="229"/>
      <w:r>
        <w:rPr>
          <w:rFonts w:hint="eastAsia" w:ascii="Times New Roman" w:hAnsi="Times New Roman" w:eastAsia="仿宋_GB2312" w:cs="Times New Roman"/>
          <w:b/>
          <w:bCs/>
          <w:color w:val="auto"/>
          <w:sz w:val="32"/>
          <w:szCs w:val="32"/>
          <w:highlight w:val="none"/>
        </w:rPr>
        <w:t>。</w:t>
      </w:r>
      <w:r>
        <w:rPr>
          <w:rFonts w:ascii="Times New Roman" w:hAnsi="Times New Roman" w:eastAsia="仿宋_GB2312" w:cs="Times New Roman"/>
          <w:b/>
          <w:bCs/>
          <w:color w:val="auto"/>
          <w:sz w:val="32"/>
          <w:szCs w:val="32"/>
          <w:highlight w:val="none"/>
        </w:rPr>
        <w:t>一是加强</w:t>
      </w:r>
      <w:r>
        <w:rPr>
          <w:rFonts w:hint="eastAsia" w:ascii="Times New Roman" w:hAnsi="Times New Roman" w:eastAsia="仿宋_GB2312" w:cs="Times New Roman"/>
          <w:b/>
          <w:bCs/>
          <w:color w:val="auto"/>
          <w:sz w:val="32"/>
          <w:szCs w:val="32"/>
          <w:highlight w:val="none"/>
        </w:rPr>
        <w:t>茶叶良种</w:t>
      </w:r>
      <w:r>
        <w:rPr>
          <w:rFonts w:ascii="Times New Roman" w:hAnsi="Times New Roman" w:eastAsia="仿宋_GB2312" w:cs="Times New Roman"/>
          <w:b/>
          <w:bCs/>
          <w:color w:val="auto"/>
          <w:sz w:val="32"/>
          <w:szCs w:val="32"/>
          <w:highlight w:val="none"/>
        </w:rPr>
        <w:t>研发。</w:t>
      </w:r>
      <w:r>
        <w:rPr>
          <w:rFonts w:ascii="Times New Roman" w:hAnsi="Times New Roman" w:eastAsia="仿宋_GB2312" w:cs="Times New Roman"/>
          <w:bCs/>
          <w:color w:val="auto"/>
          <w:sz w:val="32"/>
          <w:szCs w:val="32"/>
          <w:highlight w:val="none"/>
        </w:rPr>
        <w:t>加大与四川农业大学的</w:t>
      </w:r>
      <w:r>
        <w:rPr>
          <w:rFonts w:hint="eastAsia" w:ascii="Times New Roman" w:hAnsi="Times New Roman" w:eastAsia="仿宋_GB2312" w:cs="Times New Roman"/>
          <w:bCs/>
          <w:color w:val="auto"/>
          <w:sz w:val="32"/>
          <w:szCs w:val="32"/>
          <w:highlight w:val="none"/>
        </w:rPr>
        <w:t>县</w:t>
      </w:r>
      <w:r>
        <w:rPr>
          <w:rFonts w:ascii="Times New Roman" w:hAnsi="Times New Roman" w:eastAsia="仿宋_GB2312" w:cs="Times New Roman"/>
          <w:bCs/>
          <w:color w:val="auto"/>
          <w:sz w:val="32"/>
          <w:szCs w:val="32"/>
          <w:highlight w:val="none"/>
        </w:rPr>
        <w:t>校合作，</w:t>
      </w:r>
      <w:r>
        <w:rPr>
          <w:rFonts w:hint="eastAsia" w:ascii="Times New Roman" w:hAnsi="Times New Roman" w:eastAsia="仿宋_GB2312" w:cs="Times New Roman"/>
          <w:bCs/>
          <w:color w:val="auto"/>
          <w:sz w:val="32"/>
          <w:szCs w:val="32"/>
          <w:highlight w:val="none"/>
        </w:rPr>
        <w:t>支持共建茶叶良种研发实验室和繁育基地，</w:t>
      </w:r>
      <w:r>
        <w:rPr>
          <w:rFonts w:ascii="Times New Roman" w:hAnsi="Times New Roman" w:eastAsia="仿宋_GB2312" w:cs="Times New Roman"/>
          <w:bCs/>
          <w:color w:val="auto"/>
          <w:sz w:val="32"/>
          <w:szCs w:val="32"/>
          <w:highlight w:val="none"/>
        </w:rPr>
        <w:t>推进品种繁育、种苗培育等工作，积极复壮小种群重点。</w:t>
      </w:r>
      <w:r>
        <w:rPr>
          <w:rFonts w:hint="eastAsia" w:ascii="Times New Roman" w:hAnsi="Times New Roman" w:eastAsia="仿宋_GB2312" w:cs="Times New Roman"/>
          <w:b/>
          <w:bCs w:val="0"/>
          <w:color w:val="auto"/>
          <w:sz w:val="32"/>
          <w:szCs w:val="32"/>
          <w:highlight w:val="none"/>
        </w:rPr>
        <w:t>二是</w:t>
      </w:r>
      <w:r>
        <w:rPr>
          <w:rFonts w:hint="eastAsia" w:ascii="Times New Roman" w:hAnsi="Times New Roman" w:eastAsia="仿宋_GB2312" w:cs="Times New Roman"/>
          <w:b/>
          <w:color w:val="auto"/>
          <w:sz w:val="32"/>
          <w:szCs w:val="32"/>
          <w:highlight w:val="none"/>
        </w:rPr>
        <w:t>加快</w:t>
      </w:r>
      <w:r>
        <w:rPr>
          <w:rFonts w:hint="eastAsia" w:ascii="Times New Roman" w:hAnsi="Times New Roman" w:eastAsia="仿宋_GB2312" w:cs="Times New Roman"/>
          <w:b/>
          <w:bCs w:val="0"/>
          <w:color w:val="auto"/>
          <w:sz w:val="32"/>
          <w:szCs w:val="32"/>
          <w:highlight w:val="none"/>
        </w:rPr>
        <w:t>智能茶叶精制装备研发与产业化</w:t>
      </w:r>
      <w:r>
        <w:rPr>
          <w:rFonts w:hint="eastAsia" w:ascii="Times New Roman" w:hAnsi="Times New Roman" w:eastAsia="仿宋_GB2312" w:cs="Times New Roman"/>
          <w:bCs/>
          <w:color w:val="auto"/>
          <w:sz w:val="32"/>
          <w:szCs w:val="32"/>
          <w:highlight w:val="none"/>
        </w:rPr>
        <w:t>。</w:t>
      </w:r>
      <w:r>
        <w:rPr>
          <w:rFonts w:ascii="Times New Roman" w:hAnsi="Times New Roman" w:eastAsia="仿宋_GB2312" w:cs="Times New Roman"/>
          <w:bCs/>
          <w:color w:val="auto"/>
          <w:sz w:val="32"/>
          <w:szCs w:val="32"/>
          <w:highlight w:val="none"/>
        </w:rPr>
        <w:t>吸引县外茶叶龙头</w:t>
      </w:r>
      <w:r>
        <w:rPr>
          <w:rFonts w:ascii="Times New Roman" w:hAnsi="Times New Roman" w:eastAsia="仿宋_GB2312" w:cs="Times New Roman"/>
          <w:color w:val="auto"/>
          <w:sz w:val="32"/>
          <w:szCs w:val="32"/>
          <w:highlight w:val="none"/>
        </w:rPr>
        <w:t>企业和社会资金投入，</w:t>
      </w:r>
      <w:r>
        <w:rPr>
          <w:rFonts w:hint="eastAsia" w:ascii="Times New Roman" w:hAnsi="Times New Roman" w:eastAsia="仿宋_GB2312" w:cs="Times New Roman"/>
          <w:bCs/>
          <w:color w:val="auto"/>
          <w:sz w:val="32"/>
          <w:szCs w:val="32"/>
          <w:highlight w:val="none"/>
        </w:rPr>
        <w:t>推进</w:t>
      </w:r>
      <w:r>
        <w:rPr>
          <w:rFonts w:ascii="Times New Roman" w:hAnsi="Times New Roman" w:eastAsia="仿宋_GB2312" w:cs="Times New Roman"/>
          <w:bCs/>
          <w:color w:val="auto"/>
          <w:sz w:val="32"/>
          <w:szCs w:val="32"/>
          <w:highlight w:val="none"/>
        </w:rPr>
        <w:t>智慧茶园建设、茶叶加工数字化与智能化集成控制关键技术与装备、茶叶初制精制智能生产线研制与示范推广，</w:t>
      </w:r>
      <w:r>
        <w:rPr>
          <w:rFonts w:ascii="Times New Roman" w:hAnsi="Times New Roman" w:eastAsia="仿宋_GB2312" w:cs="Times New Roman"/>
          <w:color w:val="auto"/>
          <w:sz w:val="32"/>
          <w:szCs w:val="32"/>
          <w:highlight w:val="none"/>
        </w:rPr>
        <w:t>鼓励企业引进先进生产线实施高山有机茶、藏茶加工技术改造，进一步提升茶叶生产加工的智能化水平</w:t>
      </w:r>
      <w:r>
        <w:rPr>
          <w:rFonts w:ascii="Times New Roman" w:hAnsi="Times New Roman" w:eastAsia="仿宋_GB2312" w:cs="Times New Roman"/>
          <w:bCs/>
          <w:color w:val="auto"/>
          <w:sz w:val="32"/>
          <w:szCs w:val="32"/>
          <w:highlight w:val="none"/>
        </w:rPr>
        <w:t>。</w:t>
      </w:r>
      <w:r>
        <w:rPr>
          <w:rFonts w:hint="eastAsia" w:ascii="Times New Roman" w:hAnsi="Times New Roman" w:eastAsia="仿宋_GB2312" w:cs="Times New Roman"/>
          <w:b/>
          <w:bCs w:val="0"/>
          <w:color w:val="auto"/>
          <w:sz w:val="32"/>
          <w:szCs w:val="32"/>
          <w:highlight w:val="none"/>
        </w:rPr>
        <w:t>三是加强</w:t>
      </w:r>
      <w:r>
        <w:rPr>
          <w:rFonts w:hint="eastAsia" w:ascii="Times New Roman" w:hAnsi="Times New Roman" w:eastAsia="仿宋_GB2312" w:cs="Times New Roman"/>
          <w:b/>
          <w:color w:val="auto"/>
          <w:sz w:val="32"/>
          <w:szCs w:val="32"/>
          <w:highlight w:val="none"/>
        </w:rPr>
        <w:t>茶叶</w:t>
      </w:r>
      <w:r>
        <w:rPr>
          <w:rFonts w:ascii="Times New Roman" w:hAnsi="Times New Roman" w:eastAsia="仿宋_GB2312" w:cs="Times New Roman"/>
          <w:b/>
          <w:bCs/>
          <w:color w:val="auto"/>
          <w:sz w:val="32"/>
          <w:szCs w:val="32"/>
          <w:highlight w:val="none"/>
        </w:rPr>
        <w:t>特色产品开发。</w:t>
      </w:r>
      <w:r>
        <w:rPr>
          <w:rFonts w:hint="eastAsia" w:ascii="Times New Roman" w:hAnsi="Times New Roman" w:eastAsia="仿宋_GB2312" w:cs="Times New Roman"/>
          <w:bCs/>
          <w:color w:val="auto"/>
          <w:sz w:val="32"/>
          <w:szCs w:val="32"/>
          <w:highlight w:val="none"/>
        </w:rPr>
        <w:t>积极</w:t>
      </w:r>
      <w:r>
        <w:rPr>
          <w:rFonts w:ascii="Times New Roman" w:hAnsi="Times New Roman" w:eastAsia="仿宋_GB2312" w:cs="Times New Roman"/>
          <w:bCs/>
          <w:color w:val="auto"/>
          <w:sz w:val="32"/>
          <w:szCs w:val="32"/>
          <w:highlight w:val="none"/>
        </w:rPr>
        <w:t>招商引资引进深加工企业，鼓励龙头企业拓展茶叶深加工，通过提取儿茶素、茶氨酸、茶黄素等比黄金还贵的茶叶功能成分，充分利用原料老的春茶以及夏秋茶，大力发展茶饮料、茶多酚、茶色素、茶油、抗氧化剂等市场前景较好的产品，实现从简单的生活饮品向食用、药用多领域拓展</w:t>
      </w:r>
      <w:r>
        <w:rPr>
          <w:rFonts w:hint="eastAsia" w:ascii="Times New Roman" w:hAnsi="Times New Roman" w:eastAsia="仿宋_GB2312" w:cs="Times New Roman"/>
          <w:bCs/>
          <w:color w:val="auto"/>
          <w:sz w:val="32"/>
          <w:szCs w:val="32"/>
          <w:highlight w:val="none"/>
        </w:rPr>
        <w:t>。</w:t>
      </w:r>
    </w:p>
    <w:p>
      <w:pPr>
        <w:snapToGrid/>
        <w:spacing w:line="240" w:lineRule="auto"/>
        <w:ind w:firstLine="642" w:firstLineChars="200"/>
        <w:rPr>
          <w:rFonts w:ascii="Times New Roman" w:hAnsi="Times New Roman" w:eastAsia="仿宋_GB2312" w:cs="Times New Roman"/>
          <w:color w:val="auto"/>
          <w:sz w:val="32"/>
          <w:szCs w:val="32"/>
          <w:highlight w:val="none"/>
        </w:rPr>
      </w:pPr>
      <w:bookmarkStart w:id="230" w:name="_Toc7868"/>
      <w:bookmarkStart w:id="231" w:name="_Toc31771"/>
      <w:bookmarkStart w:id="232" w:name="_Toc11120"/>
      <w:bookmarkStart w:id="233" w:name="_Toc1346"/>
      <w:r>
        <w:rPr>
          <w:rFonts w:hint="eastAsia" w:ascii="Times New Roman" w:hAnsi="Times New Roman" w:eastAsia="仿宋_GB2312" w:cs="Times New Roman"/>
          <w:b/>
          <w:bCs/>
          <w:color w:val="auto"/>
          <w:sz w:val="32"/>
          <w:szCs w:val="32"/>
          <w:highlight w:val="none"/>
        </w:rPr>
        <w:t>茶旅融合</w:t>
      </w:r>
      <w:bookmarkEnd w:id="230"/>
      <w:bookmarkEnd w:id="231"/>
      <w:bookmarkEnd w:id="232"/>
      <w:r>
        <w:rPr>
          <w:rFonts w:hint="eastAsia" w:ascii="Times New Roman" w:hAnsi="Times New Roman" w:eastAsia="仿宋_GB2312" w:cs="Times New Roman"/>
          <w:b/>
          <w:bCs/>
          <w:color w:val="auto"/>
          <w:sz w:val="32"/>
          <w:szCs w:val="32"/>
          <w:highlight w:val="none"/>
        </w:rPr>
        <w:t>提升工程</w:t>
      </w:r>
      <w:bookmarkEnd w:id="233"/>
      <w:r>
        <w:rPr>
          <w:rFonts w:hint="eastAsia" w:ascii="Times New Roman" w:hAnsi="Times New Roman" w:eastAsia="仿宋_GB2312" w:cs="Times New Roman"/>
          <w:b/>
          <w:bCs/>
          <w:color w:val="auto"/>
          <w:sz w:val="32"/>
          <w:szCs w:val="32"/>
          <w:highlight w:val="none"/>
        </w:rPr>
        <w:t>。</w:t>
      </w:r>
      <w:r>
        <w:rPr>
          <w:rFonts w:ascii="Times New Roman" w:hAnsi="Times New Roman" w:eastAsia="仿宋_GB2312" w:cs="Times New Roman"/>
          <w:b/>
          <w:bCs/>
          <w:color w:val="auto"/>
          <w:sz w:val="32"/>
          <w:szCs w:val="32"/>
          <w:highlight w:val="none"/>
        </w:rPr>
        <w:t>一是</w:t>
      </w:r>
      <w:r>
        <w:rPr>
          <w:rFonts w:hint="eastAsia" w:ascii="Times New Roman" w:hAnsi="Times New Roman" w:eastAsia="仿宋_GB2312" w:cs="Times New Roman"/>
          <w:b/>
          <w:bCs/>
          <w:color w:val="auto"/>
          <w:sz w:val="32"/>
          <w:szCs w:val="32"/>
          <w:highlight w:val="none"/>
        </w:rPr>
        <w:t>完善茶旅融合基础设施</w:t>
      </w:r>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构建以自驾为导向的旅游交通体系，以建设四通八达的交通网络体系为目标，大力推进交通基础设施建设，形成内外合理衔接立体化、综合化的交通体系，满足茶文化旅游的交通需求。依托千亩有机黄茶观光园构建“茶区风情，科技田园”科技观光精品旅游线路建设及自行车观光道、旅游接待等设施配套。</w:t>
      </w:r>
      <w:r>
        <w:rPr>
          <w:rFonts w:hint="eastAsia" w:ascii="Times New Roman" w:hAnsi="Times New Roman" w:eastAsia="仿宋_GB2312" w:cs="Times New Roman"/>
          <w:b/>
          <w:bCs/>
          <w:color w:val="auto"/>
          <w:sz w:val="32"/>
          <w:szCs w:val="32"/>
          <w:highlight w:val="none"/>
        </w:rPr>
        <w:t>二</w:t>
      </w:r>
      <w:r>
        <w:rPr>
          <w:rFonts w:ascii="Times New Roman" w:hAnsi="Times New Roman" w:eastAsia="仿宋_GB2312" w:cs="Times New Roman"/>
          <w:b/>
          <w:bCs/>
          <w:color w:val="auto"/>
          <w:sz w:val="32"/>
          <w:szCs w:val="32"/>
          <w:highlight w:val="none"/>
        </w:rPr>
        <w:t>是提档升级特色</w:t>
      </w:r>
      <w:r>
        <w:rPr>
          <w:rFonts w:hint="eastAsia" w:ascii="Times New Roman" w:hAnsi="Times New Roman" w:eastAsia="仿宋_GB2312" w:cs="Times New Roman"/>
          <w:b/>
          <w:bCs/>
          <w:color w:val="auto"/>
          <w:sz w:val="32"/>
          <w:szCs w:val="32"/>
          <w:highlight w:val="none"/>
        </w:rPr>
        <w:t>茶旅</w:t>
      </w:r>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创新精品茶庄业态，对区域茶企的茶叶产品品质和品牌分级、旅游业态创新和引导，培育精品茶庄</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优先保护手工炒茶工艺和传统文化，培育传统手工茶坊（庄）、特色工艺茶企（茶庄）；与荥经黑砂、中药材等产品相结合，引入茶食、茶具、茶艺术品、茶保健品企业，做好茶旅纪念品开发</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充分利用荥经县悠久的产茶历史，结合新添、宝峰的自然地理条件，宝峰邓通城遗址、新添天池美景、民建塔子山、荥河何君尊楗阁刻石等深厚的文化底蕴和优美的传说，打造“荥经县茶马古道文化旅游长廊”。</w:t>
      </w:r>
    </w:p>
    <w:p>
      <w:pPr>
        <w:pStyle w:val="22"/>
        <w:snapToGrid w:val="0"/>
        <w:spacing w:before="156" w:beforeLines="50" w:after="156" w:afterLines="50" w:line="580" w:lineRule="exact"/>
        <w:ind w:firstLine="0" w:firstLineChars="0"/>
        <w:jc w:val="center"/>
        <w:rPr>
          <w:rFonts w:ascii="Times New Roman" w:hAnsi="Times New Roman" w:eastAsia="黑体"/>
          <w:b/>
          <w:bCs/>
          <w:color w:val="auto"/>
          <w:sz w:val="28"/>
          <w:szCs w:val="28"/>
          <w:highlight w:val="none"/>
          <w:shd w:val="clear" w:color="auto" w:fill="FFFFFF"/>
        </w:rPr>
      </w:pPr>
      <w:r>
        <w:rPr>
          <w:rFonts w:ascii="Times New Roman" w:hAnsi="Times New Roman" w:eastAsia="黑体"/>
          <w:b/>
          <w:bCs/>
          <w:color w:val="auto"/>
          <w:sz w:val="28"/>
          <w:szCs w:val="28"/>
          <w:highlight w:val="none"/>
          <w:shd w:val="clear" w:color="auto" w:fill="FFFFFF"/>
        </w:rPr>
        <w:t>专栏2  茶产业提质增效重点工程</w:t>
      </w:r>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01 现代茶产业省级园区</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hint="eastAsia" w:ascii="Times New Roman" w:hAnsi="Times New Roman"/>
                <w:color w:val="auto"/>
                <w:sz w:val="28"/>
                <w:szCs w:val="28"/>
                <w:highlight w:val="none"/>
              </w:rPr>
              <w:t>对标省级现代</w:t>
            </w:r>
            <w:r>
              <w:rPr>
                <w:rFonts w:ascii="Times New Roman" w:hAnsi="Times New Roman"/>
                <w:color w:val="auto"/>
                <w:sz w:val="28"/>
                <w:szCs w:val="28"/>
                <w:highlight w:val="none"/>
              </w:rPr>
              <w:t>农业园区建设评定标准</w:t>
            </w:r>
            <w:r>
              <w:rPr>
                <w:rFonts w:hint="eastAsia" w:ascii="Times New Roman" w:hAnsi="Times New Roman"/>
                <w:color w:val="auto"/>
                <w:sz w:val="28"/>
                <w:szCs w:val="28"/>
                <w:highlight w:val="none"/>
              </w:rPr>
              <w:t>，</w:t>
            </w:r>
            <w:r>
              <w:rPr>
                <w:rFonts w:ascii="Times New Roman" w:hAnsi="Times New Roman"/>
                <w:color w:val="auto"/>
                <w:sz w:val="28"/>
                <w:szCs w:val="28"/>
                <w:highlight w:val="none"/>
              </w:rPr>
              <w:t>在园区内开展高标准农田田网、路网、渠网建设，建设</w:t>
            </w:r>
            <w:r>
              <w:rPr>
                <w:rFonts w:hint="eastAsia" w:ascii="Times New Roman" w:hAnsi="Times New Roman"/>
                <w:color w:val="auto"/>
                <w:sz w:val="28"/>
                <w:szCs w:val="28"/>
                <w:highlight w:val="none"/>
              </w:rPr>
              <w:t>标准化集中</w:t>
            </w:r>
            <w:r>
              <w:rPr>
                <w:rFonts w:ascii="Times New Roman" w:hAnsi="Times New Roman"/>
                <w:color w:val="auto"/>
                <w:sz w:val="28"/>
                <w:szCs w:val="28"/>
                <w:highlight w:val="none"/>
              </w:rPr>
              <w:t>连片核心</w:t>
            </w:r>
            <w:r>
              <w:rPr>
                <w:rFonts w:hint="eastAsia" w:ascii="Times New Roman" w:hAnsi="Times New Roman"/>
                <w:color w:val="auto"/>
                <w:sz w:val="28"/>
                <w:szCs w:val="28"/>
                <w:highlight w:val="none"/>
              </w:rPr>
              <w:t>茶产业</w:t>
            </w:r>
            <w:r>
              <w:rPr>
                <w:rFonts w:ascii="Times New Roman" w:hAnsi="Times New Roman"/>
                <w:color w:val="auto"/>
                <w:sz w:val="28"/>
                <w:szCs w:val="28"/>
                <w:highlight w:val="none"/>
              </w:rPr>
              <w:t>区5000亩，新修完善园区产业路30公里，配套相关附属基础设施，结合宝峰少数民族、宝峰温泉、茶马驿站、民盟同心基地、邓通城遗址和莲顶山等旅游资源开发建设茶+旅融合发展示范区</w:t>
            </w:r>
            <w:r>
              <w:rPr>
                <w:rFonts w:hint="eastAsia" w:ascii="Times New Roman" w:hAnsi="Times New Roman"/>
                <w:color w:val="auto"/>
                <w:sz w:val="28"/>
                <w:szCs w:val="28"/>
                <w:highlight w:val="none"/>
              </w:rPr>
              <w:t>，</w:t>
            </w:r>
            <w:r>
              <w:rPr>
                <w:rFonts w:ascii="Times New Roman" w:hAnsi="Times New Roman"/>
                <w:color w:val="auto"/>
                <w:sz w:val="28"/>
                <w:szCs w:val="28"/>
                <w:highlight w:val="none"/>
              </w:rPr>
              <w:t>改造提升茶叶加工厂4个，开展益农社电商销售和彝家采茶乐等新业态建设等。</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02 高山现代生态茶叶园区</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在牛背山镇、荥河镇新建</w:t>
            </w:r>
            <w:r>
              <w:rPr>
                <w:rFonts w:hint="eastAsia" w:ascii="Times New Roman" w:hAnsi="Times New Roman"/>
                <w:color w:val="auto"/>
                <w:sz w:val="28"/>
                <w:szCs w:val="28"/>
                <w:highlight w:val="none"/>
              </w:rPr>
              <w:t>标准化</w:t>
            </w:r>
            <w:r>
              <w:rPr>
                <w:rFonts w:ascii="Times New Roman" w:hAnsi="Times New Roman"/>
                <w:color w:val="auto"/>
                <w:sz w:val="28"/>
                <w:szCs w:val="28"/>
                <w:highlight w:val="none"/>
              </w:rPr>
              <w:t>生态黄金茶基地5</w:t>
            </w:r>
            <w:r>
              <w:rPr>
                <w:rFonts w:hint="eastAsia" w:ascii="Times New Roman" w:hAnsi="Times New Roman"/>
                <w:color w:val="auto"/>
                <w:sz w:val="28"/>
                <w:szCs w:val="28"/>
                <w:highlight w:val="none"/>
              </w:rPr>
              <w:t>5</w:t>
            </w:r>
            <w:r>
              <w:rPr>
                <w:rFonts w:ascii="Times New Roman" w:hAnsi="Times New Roman"/>
                <w:color w:val="auto"/>
                <w:sz w:val="28"/>
                <w:szCs w:val="28"/>
                <w:highlight w:val="none"/>
              </w:rPr>
              <w:t>00亩，新修硬化产业道路</w:t>
            </w:r>
            <w:r>
              <w:rPr>
                <w:rFonts w:hint="eastAsia" w:ascii="Times New Roman" w:hAnsi="Times New Roman"/>
                <w:color w:val="auto"/>
                <w:sz w:val="28"/>
                <w:szCs w:val="28"/>
                <w:highlight w:val="none"/>
              </w:rPr>
              <w:t>12</w:t>
            </w:r>
            <w:r>
              <w:rPr>
                <w:rFonts w:ascii="Times New Roman" w:hAnsi="Times New Roman"/>
                <w:color w:val="auto"/>
                <w:sz w:val="28"/>
                <w:szCs w:val="28"/>
                <w:highlight w:val="none"/>
              </w:rPr>
              <w:t>公里，田间作业道10公里，配套相关茶园生产设施等</w:t>
            </w:r>
            <w:r>
              <w:rPr>
                <w:rFonts w:hint="eastAsia" w:ascii="Times New Roman" w:hAnsi="Times New Roman"/>
                <w:color w:val="auto"/>
                <w:sz w:val="28"/>
                <w:szCs w:val="28"/>
                <w:highlight w:val="none"/>
              </w:rPr>
              <w:t>，</w:t>
            </w:r>
            <w:r>
              <w:rPr>
                <w:rFonts w:ascii="Times New Roman" w:hAnsi="Times New Roman"/>
                <w:color w:val="auto"/>
                <w:sz w:val="28"/>
                <w:szCs w:val="28"/>
                <w:highlight w:val="none"/>
              </w:rPr>
              <w:t>开展茶叶病虫害防治示范推广色板捕杀、灯光诱杀、生物农药防治技术、建设统防统治有机肥替代化肥等绿色防控示范面积20000亩</w:t>
            </w:r>
            <w:r>
              <w:rPr>
                <w:rFonts w:hint="eastAsia" w:ascii="Times New Roman" w:hAnsi="Times New Roman"/>
                <w:color w:val="auto"/>
                <w:sz w:val="28"/>
                <w:szCs w:val="28"/>
                <w:highlight w:val="none"/>
              </w:rPr>
              <w:t>，积极发展茶旅融合新业态，建成一二三产融合的现代农业园区</w:t>
            </w:r>
            <w:r>
              <w:rPr>
                <w:rFonts w:ascii="Times New Roman" w:hAnsi="Times New Roman"/>
                <w:color w:val="auto"/>
                <w:sz w:val="28"/>
                <w:szCs w:val="28"/>
                <w:highlight w:val="none"/>
              </w:rPr>
              <w:t>。</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03 古茶树保护和开发工程</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hint="eastAsia" w:ascii="Times New Roman" w:hAnsi="Times New Roman"/>
                <w:color w:val="auto"/>
                <w:sz w:val="28"/>
                <w:szCs w:val="28"/>
                <w:highlight w:val="none"/>
              </w:rPr>
              <w:t>在新添镇等地开展古茶树普查，建立古茶树资源库，</w:t>
            </w:r>
            <w:r>
              <w:rPr>
                <w:rFonts w:ascii="Times New Roman" w:hAnsi="Times New Roman"/>
                <w:color w:val="auto"/>
                <w:sz w:val="28"/>
                <w:szCs w:val="28"/>
                <w:highlight w:val="none"/>
              </w:rPr>
              <w:t>对生长在荥经县区域内的野生茶树和树龄在100年以上的人工栽培型古茶树采取单株挂牌保护，对古茶园立牌分类分级保护</w:t>
            </w:r>
            <w:r>
              <w:rPr>
                <w:rFonts w:hint="eastAsia" w:ascii="Times New Roman" w:hAnsi="Times New Roman"/>
                <w:color w:val="auto"/>
                <w:sz w:val="28"/>
                <w:szCs w:val="28"/>
                <w:highlight w:val="none"/>
              </w:rPr>
              <w:t>，积极开展“荥经古茶树”品牌打造</w:t>
            </w:r>
            <w:r>
              <w:rPr>
                <w:rFonts w:ascii="Times New Roman" w:hAnsi="Times New Roman"/>
                <w:color w:val="auto"/>
                <w:sz w:val="28"/>
                <w:szCs w:val="28"/>
                <w:highlight w:val="none"/>
              </w:rPr>
              <w:t>。</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04 “智慧”茶产业</w:t>
            </w:r>
            <w:r>
              <w:rPr>
                <w:rFonts w:hint="eastAsia" w:ascii="Times New Roman" w:hAnsi="Times New Roman" w:eastAsia="楷体_GB2312" w:cs="Times New Roman"/>
                <w:b/>
                <w:bCs/>
                <w:color w:val="auto"/>
                <w:sz w:val="28"/>
                <w:szCs w:val="28"/>
                <w:highlight w:val="none"/>
                <w:shd w:val="clear" w:color="auto" w:fill="FFFFFF"/>
              </w:rPr>
              <w:t>信息化体系</w:t>
            </w:r>
            <w:r>
              <w:rPr>
                <w:rFonts w:ascii="Times New Roman" w:hAnsi="Times New Roman" w:eastAsia="楷体_GB2312" w:cs="Times New Roman"/>
                <w:b/>
                <w:bCs/>
                <w:color w:val="auto"/>
                <w:sz w:val="28"/>
                <w:szCs w:val="28"/>
                <w:highlight w:val="none"/>
                <w:shd w:val="clear" w:color="auto" w:fill="FFFFFF"/>
              </w:rPr>
              <w:t>建设</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hint="eastAsia" w:ascii="Times New Roman" w:hAnsi="Times New Roman"/>
                <w:color w:val="auto"/>
                <w:sz w:val="28"/>
                <w:szCs w:val="28"/>
                <w:highlight w:val="none"/>
              </w:rPr>
              <w:t>建设一个“智慧化”功能集成信息化平台，一个茶产业智慧化产业服务中心，一个“智慧化”功能集成信息化平台，在新添镇、宝峰乡等建设</w:t>
            </w:r>
            <w:r>
              <w:rPr>
                <w:rFonts w:ascii="Times New Roman" w:hAnsi="Times New Roman"/>
                <w:color w:val="auto"/>
                <w:sz w:val="28"/>
                <w:szCs w:val="28"/>
                <w:highlight w:val="none"/>
              </w:rPr>
              <w:t>6</w:t>
            </w:r>
            <w:r>
              <w:rPr>
                <w:rFonts w:hint="eastAsia" w:ascii="Times New Roman" w:hAnsi="Times New Roman"/>
                <w:color w:val="auto"/>
                <w:sz w:val="28"/>
                <w:szCs w:val="28"/>
                <w:highlight w:val="none"/>
              </w:rPr>
              <w:t>个茶产业标准化示范产业园，包括智能水肥系统、茶园监控设施、机械化设施、技术服务及管理系统等，</w:t>
            </w:r>
            <w:r>
              <w:rPr>
                <w:rFonts w:ascii="Times New Roman" w:hAnsi="Times New Roman"/>
                <w:color w:val="auto"/>
                <w:sz w:val="28"/>
                <w:szCs w:val="28"/>
                <w:highlight w:val="none"/>
              </w:rPr>
              <w:t>实现全县茶产业智慧化、数字化率达到40%，绿色化率达到80%，机械化率达到50%，标准化率达到50%；同时提升亩产率20%；降低农民生产成本10%-15%，实现农民增收10%-20%。</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w:t>
            </w:r>
            <w:r>
              <w:rPr>
                <w:rFonts w:hint="eastAsia" w:ascii="Times New Roman" w:hAnsi="Times New Roman" w:eastAsia="楷体_GB2312" w:cs="Times New Roman"/>
                <w:b/>
                <w:bCs/>
                <w:color w:val="auto"/>
                <w:sz w:val="28"/>
                <w:szCs w:val="28"/>
                <w:highlight w:val="none"/>
                <w:shd w:val="clear" w:color="auto" w:fill="FFFFFF"/>
              </w:rPr>
              <w:t>5</w:t>
            </w:r>
            <w:r>
              <w:rPr>
                <w:rFonts w:ascii="Times New Roman" w:hAnsi="Times New Roman" w:eastAsia="楷体_GB2312" w:cs="Times New Roman"/>
                <w:b/>
                <w:bCs/>
                <w:color w:val="auto"/>
                <w:sz w:val="28"/>
                <w:szCs w:val="28"/>
                <w:highlight w:val="none"/>
                <w:shd w:val="clear" w:color="auto" w:fill="FFFFFF"/>
              </w:rPr>
              <w:t xml:space="preserve"> </w:t>
            </w:r>
            <w:r>
              <w:rPr>
                <w:rFonts w:hint="eastAsia" w:ascii="Times New Roman" w:hAnsi="Times New Roman" w:eastAsia="楷体_GB2312" w:cs="Times New Roman"/>
                <w:b/>
                <w:bCs/>
                <w:color w:val="auto"/>
                <w:sz w:val="28"/>
                <w:szCs w:val="28"/>
                <w:highlight w:val="none"/>
                <w:shd w:val="clear" w:color="auto" w:fill="FFFFFF"/>
              </w:rPr>
              <w:t>茶旅综合体建设</w:t>
            </w:r>
          </w:p>
          <w:p>
            <w:pPr>
              <w:pStyle w:val="22"/>
              <w:snapToGrid w:val="0"/>
              <w:spacing w:line="500" w:lineRule="exact"/>
              <w:ind w:left="307" w:leftChars="146" w:firstLine="0" w:firstLineChars="0"/>
              <w:rPr>
                <w:rFonts w:ascii="Times New Roman" w:hAnsi="Times New Roman" w:eastAsia="楷体_GB2312"/>
                <w:b/>
                <w:bCs/>
                <w:color w:val="auto"/>
                <w:sz w:val="28"/>
                <w:szCs w:val="28"/>
                <w:highlight w:val="none"/>
                <w:shd w:val="clear" w:color="auto" w:fill="FFFFFF"/>
              </w:rPr>
            </w:pPr>
            <w:r>
              <w:rPr>
                <w:rFonts w:hint="eastAsia" w:ascii="Times New Roman" w:hAnsi="Times New Roman"/>
                <w:color w:val="auto"/>
                <w:sz w:val="28"/>
                <w:szCs w:val="28"/>
                <w:highlight w:val="none"/>
              </w:rPr>
              <w:t>宝峰、新添、民建、荥河等乡镇开展重点茶产业核心区打造、彝家新寨建设、南路边茶技艺传承、茶马古道修复、古村落保护、茶文化综合体建设、旅游基础设施配套建设等</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hint="eastAsia" w:ascii="Times New Roman" w:hAnsi="Times New Roman" w:eastAsia="楷体_GB2312" w:cs="Times New Roman"/>
                <w:b/>
                <w:bCs/>
                <w:color w:val="auto"/>
                <w:sz w:val="28"/>
                <w:szCs w:val="28"/>
                <w:highlight w:val="none"/>
                <w:shd w:val="clear" w:color="auto" w:fill="FFFFFF"/>
              </w:rPr>
              <w:t xml:space="preserve">06 </w:t>
            </w:r>
            <w:r>
              <w:rPr>
                <w:rFonts w:ascii="Times New Roman" w:hAnsi="Times New Roman" w:eastAsia="楷体_GB2312" w:cs="Times New Roman"/>
                <w:b/>
                <w:bCs/>
                <w:color w:val="auto"/>
                <w:sz w:val="28"/>
                <w:szCs w:val="28"/>
                <w:highlight w:val="none"/>
                <w:shd w:val="clear" w:color="auto" w:fill="FFFFFF"/>
              </w:rPr>
              <w:t>藏茶博物馆</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hint="eastAsia" w:ascii="Times New Roman" w:hAnsi="Times New Roman"/>
                <w:color w:val="auto"/>
                <w:sz w:val="28"/>
                <w:szCs w:val="28"/>
                <w:highlight w:val="none"/>
              </w:rPr>
              <w:t>在</w:t>
            </w:r>
            <w:r>
              <w:rPr>
                <w:rFonts w:hint="eastAsia" w:ascii="Times New Roman" w:hAnsi="Times New Roman"/>
                <w:color w:val="auto"/>
                <w:sz w:val="28"/>
                <w:szCs w:val="28"/>
                <w:highlight w:val="none"/>
                <w:lang w:eastAsia="zh-CN"/>
              </w:rPr>
              <w:t>新添镇</w:t>
            </w:r>
            <w:r>
              <w:rPr>
                <w:rFonts w:ascii="Times New Roman" w:hAnsi="Times New Roman"/>
                <w:color w:val="auto"/>
                <w:sz w:val="28"/>
                <w:szCs w:val="28"/>
                <w:highlight w:val="none"/>
              </w:rPr>
              <w:t>建设藏茶博物馆及体验、营销平台，总建筑面积为2800平方米。建设占地30亩，年产2000吨的藏茶（产品）加工厂房，配套相关设施设备。</w:t>
            </w:r>
          </w:p>
        </w:tc>
      </w:tr>
    </w:tbl>
    <w:p>
      <w:pPr>
        <w:pStyle w:val="13"/>
        <w:spacing w:line="560" w:lineRule="exact"/>
        <w:ind w:left="0" w:leftChars="0" w:firstLine="0" w:firstLineChars="0"/>
        <w:rPr>
          <w:rFonts w:hint="default" w:ascii="Times New Roman" w:hAnsi="Times New Roman" w:cs="Times New Roman"/>
          <w:color w:val="auto"/>
          <w:highlight w:val="none"/>
        </w:rPr>
      </w:pPr>
    </w:p>
    <w:p>
      <w:pPr>
        <w:pStyle w:val="4"/>
        <w:keepLines w:val="0"/>
        <w:numPr>
          <w:ilvl w:val="1"/>
          <w:numId w:val="3"/>
        </w:numPr>
        <w:spacing w:before="312" w:beforeLines="100" w:after="312" w:afterLines="100" w:line="620" w:lineRule="exact"/>
        <w:jc w:val="center"/>
        <w:rPr>
          <w:rFonts w:ascii="Times New Roman" w:hAnsi="Times New Roman" w:cs="Times New Roman"/>
          <w:b/>
          <w:bCs/>
          <w:color w:val="auto"/>
          <w:highlight w:val="none"/>
        </w:rPr>
      </w:pPr>
      <w:bookmarkStart w:id="234" w:name="_Toc24266"/>
      <w:bookmarkStart w:id="235" w:name="_Toc75731147"/>
      <w:bookmarkStart w:id="236" w:name="_Toc6316"/>
      <w:bookmarkStart w:id="237" w:name="_Toc27641"/>
      <w:r>
        <w:rPr>
          <w:rFonts w:ascii="Times New Roman" w:hAnsi="Times New Roman" w:cs="Times New Roman"/>
          <w:b/>
          <w:bCs/>
          <w:color w:val="auto"/>
          <w:highlight w:val="none"/>
        </w:rPr>
        <w:t>稳步发展生猪产业</w:t>
      </w:r>
      <w:bookmarkEnd w:id="234"/>
      <w:bookmarkEnd w:id="235"/>
      <w:bookmarkEnd w:id="236"/>
      <w:bookmarkEnd w:id="237"/>
    </w:p>
    <w:p>
      <w:pPr>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深入贯彻“创新、协调、绿色、开放、共享”理念，统筹保供给、保安全、保生态，稳步发展生猪养殖，深入推进生态规模养殖、优化产业结构，加快生猪产业转型升级。到2025年，全县生猪出栏50万头，</w:t>
      </w:r>
      <w:r>
        <w:rPr>
          <w:rFonts w:ascii="Times New Roman" w:hAnsi="Times New Roman" w:eastAsia="仿宋_GB2312" w:cs="Times New Roman"/>
          <w:color w:val="auto"/>
          <w:sz w:val="32"/>
          <w:highlight w:val="none"/>
          <w:lang w:val="sq-AL"/>
        </w:rPr>
        <w:t>实现产值25亿元。</w:t>
      </w:r>
    </w:p>
    <w:p>
      <w:pPr>
        <w:snapToGrid w:val="0"/>
        <w:spacing w:line="560" w:lineRule="exact"/>
        <w:ind w:firstLine="642" w:firstLineChars="200"/>
        <w:rPr>
          <w:rFonts w:ascii="Times New Roman" w:hAnsi="Times New Roman" w:eastAsia="仿宋_GB2312" w:cs="Times New Roman"/>
          <w:color w:val="auto"/>
          <w:sz w:val="32"/>
          <w:szCs w:val="32"/>
          <w:highlight w:val="none"/>
        </w:rPr>
      </w:pPr>
      <w:bookmarkStart w:id="238" w:name="_Toc20946"/>
      <w:bookmarkStart w:id="239" w:name="_Toc4208"/>
      <w:bookmarkStart w:id="240" w:name="_Toc23108"/>
      <w:bookmarkStart w:id="241" w:name="_Toc18343"/>
      <w:r>
        <w:rPr>
          <w:rFonts w:ascii="Times New Roman" w:hAnsi="Times New Roman" w:eastAsia="仿宋_GB2312" w:cs="Times New Roman"/>
          <w:b/>
          <w:bCs/>
          <w:color w:val="auto"/>
          <w:sz w:val="32"/>
          <w:szCs w:val="32"/>
          <w:highlight w:val="none"/>
        </w:rPr>
        <w:t>生猪养殖</w:t>
      </w:r>
      <w:r>
        <w:rPr>
          <w:rFonts w:hint="eastAsia" w:ascii="Times New Roman" w:hAnsi="Times New Roman" w:eastAsia="仿宋_GB2312" w:cs="Times New Roman"/>
          <w:b/>
          <w:bCs/>
          <w:color w:val="auto"/>
          <w:sz w:val="32"/>
          <w:szCs w:val="32"/>
          <w:highlight w:val="none"/>
        </w:rPr>
        <w:t>标准化</w:t>
      </w:r>
      <w:r>
        <w:rPr>
          <w:rFonts w:ascii="Times New Roman" w:hAnsi="Times New Roman" w:eastAsia="仿宋_GB2312" w:cs="Times New Roman"/>
          <w:b/>
          <w:bCs/>
          <w:color w:val="auto"/>
          <w:sz w:val="32"/>
          <w:szCs w:val="32"/>
          <w:highlight w:val="none"/>
        </w:rPr>
        <w:t>基地建设</w:t>
      </w:r>
      <w:bookmarkEnd w:id="238"/>
      <w:bookmarkEnd w:id="239"/>
      <w:bookmarkEnd w:id="240"/>
      <w:bookmarkEnd w:id="241"/>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按照稳步发展生猪养殖的思路，</w:t>
      </w:r>
      <w:r>
        <w:rPr>
          <w:rFonts w:hint="eastAsia" w:ascii="Times New Roman" w:hAnsi="Times New Roman" w:eastAsia="仿宋_GB2312" w:cs="Times New Roman"/>
          <w:color w:val="auto"/>
          <w:sz w:val="32"/>
          <w:szCs w:val="32"/>
          <w:highlight w:val="none"/>
        </w:rPr>
        <w:t>开展生猪良种繁育基地建设，</w:t>
      </w:r>
      <w:r>
        <w:rPr>
          <w:rFonts w:ascii="Times New Roman" w:hAnsi="Times New Roman" w:eastAsia="仿宋_GB2312" w:cs="Times New Roman"/>
          <w:color w:val="auto"/>
          <w:sz w:val="32"/>
          <w:szCs w:val="32"/>
          <w:highlight w:val="none"/>
        </w:rPr>
        <w:t>优化生猪养殖布局</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以种养循环、零排放标准，对已经建成的粗放型规模养殖场进行标准化改造，提升生猪规模化养殖水平。提高实施畜禽养殖废弃物资源化利用，畜禽规模以下养殖场配备畜禽养殖粪污处理设施，规模以下畜禽养殖废弃物资源化利用率达81%。</w:t>
      </w:r>
    </w:p>
    <w:p>
      <w:pPr>
        <w:snapToGrid w:val="0"/>
        <w:spacing w:line="560" w:lineRule="exact"/>
        <w:ind w:firstLine="642" w:firstLineChars="200"/>
        <w:rPr>
          <w:rFonts w:ascii="Times New Roman" w:hAnsi="Times New Roman" w:eastAsia="仿宋_GB2312" w:cs="Times New Roman"/>
          <w:color w:val="auto"/>
          <w:sz w:val="32"/>
          <w:szCs w:val="32"/>
          <w:highlight w:val="none"/>
        </w:rPr>
      </w:pPr>
      <w:bookmarkStart w:id="242" w:name="_Toc27691"/>
      <w:bookmarkStart w:id="243" w:name="_Toc5308"/>
      <w:bookmarkStart w:id="244" w:name="_Toc18626"/>
      <w:bookmarkStart w:id="245" w:name="_Toc22963"/>
      <w:r>
        <w:rPr>
          <w:rFonts w:ascii="Times New Roman" w:hAnsi="Times New Roman" w:eastAsia="仿宋_GB2312" w:cs="Times New Roman"/>
          <w:b/>
          <w:bCs/>
          <w:color w:val="auto"/>
          <w:sz w:val="32"/>
          <w:szCs w:val="32"/>
          <w:highlight w:val="none"/>
        </w:rPr>
        <w:t>鼓励发展生猪</w:t>
      </w:r>
      <w:r>
        <w:rPr>
          <w:rFonts w:hint="eastAsia" w:ascii="Times New Roman" w:hAnsi="Times New Roman" w:eastAsia="仿宋_GB2312" w:cs="Times New Roman"/>
          <w:b/>
          <w:bCs/>
          <w:color w:val="auto"/>
          <w:sz w:val="32"/>
          <w:szCs w:val="32"/>
          <w:highlight w:val="none"/>
        </w:rPr>
        <w:t>产品精深</w:t>
      </w:r>
      <w:r>
        <w:rPr>
          <w:rFonts w:ascii="Times New Roman" w:hAnsi="Times New Roman" w:eastAsia="仿宋_GB2312" w:cs="Times New Roman"/>
          <w:b/>
          <w:bCs/>
          <w:color w:val="auto"/>
          <w:sz w:val="32"/>
          <w:szCs w:val="32"/>
          <w:highlight w:val="none"/>
        </w:rPr>
        <w:t>加工</w:t>
      </w:r>
      <w:bookmarkEnd w:id="242"/>
      <w:bookmarkEnd w:id="243"/>
      <w:bookmarkEnd w:id="244"/>
      <w:bookmarkEnd w:id="245"/>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以农产品加工园区建设为契机，引进培育生猪屠宰和肉食品初加工企业，满足全县生猪屠宰需要。大力支持食品加工企业发展，推动“三合腊肉”特色产品的深度开发和市场培育，促进特色产品的系列化、品牌化、超市化。</w:t>
      </w:r>
    </w:p>
    <w:p>
      <w:pPr>
        <w:pStyle w:val="22"/>
        <w:snapToGrid w:val="0"/>
        <w:spacing w:before="156" w:beforeLines="50" w:after="156" w:afterLines="50" w:line="580" w:lineRule="exact"/>
        <w:ind w:firstLine="0" w:firstLineChars="0"/>
        <w:jc w:val="center"/>
        <w:rPr>
          <w:rFonts w:ascii="Times New Roman" w:hAnsi="Times New Roman" w:eastAsia="黑体"/>
          <w:b/>
          <w:bCs/>
          <w:color w:val="auto"/>
          <w:sz w:val="28"/>
          <w:szCs w:val="28"/>
          <w:highlight w:val="none"/>
          <w:shd w:val="clear" w:color="auto" w:fill="FFFFFF"/>
        </w:rPr>
      </w:pPr>
      <w:r>
        <w:rPr>
          <w:rFonts w:ascii="Times New Roman" w:hAnsi="Times New Roman" w:eastAsia="黑体"/>
          <w:b/>
          <w:bCs/>
          <w:color w:val="auto"/>
          <w:sz w:val="28"/>
          <w:szCs w:val="28"/>
          <w:highlight w:val="none"/>
          <w:shd w:val="clear" w:color="auto" w:fill="FFFFFF"/>
          <w:lang w:val="sq-AL"/>
        </w:rPr>
        <w:t>专栏3</w:t>
      </w:r>
      <w:r>
        <w:rPr>
          <w:rFonts w:ascii="Times New Roman" w:hAnsi="Times New Roman" w:eastAsia="黑体"/>
          <w:b/>
          <w:bCs/>
          <w:color w:val="auto"/>
          <w:sz w:val="28"/>
          <w:szCs w:val="28"/>
          <w:highlight w:val="none"/>
          <w:shd w:val="clear" w:color="auto" w:fill="FFFFFF"/>
        </w:rPr>
        <w:t xml:space="preserve">  </w:t>
      </w:r>
      <w:r>
        <w:rPr>
          <w:rFonts w:ascii="Times New Roman" w:hAnsi="Times New Roman" w:eastAsia="黑体"/>
          <w:b/>
          <w:bCs/>
          <w:color w:val="auto"/>
          <w:sz w:val="28"/>
          <w:szCs w:val="28"/>
          <w:highlight w:val="none"/>
          <w:shd w:val="clear" w:color="auto" w:fill="FFFFFF"/>
          <w:lang w:val="sq-AL"/>
        </w:rPr>
        <w:t>优质生猪产业发展重点工程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lang w:val="sq-AL"/>
              </w:rPr>
            </w:pPr>
            <w:bookmarkStart w:id="246" w:name="_Toc12060"/>
            <w:r>
              <w:rPr>
                <w:rFonts w:ascii="Times New Roman" w:hAnsi="Times New Roman" w:eastAsia="楷体_GB2312" w:cs="Times New Roman"/>
                <w:b/>
                <w:bCs/>
                <w:color w:val="auto"/>
                <w:sz w:val="28"/>
                <w:szCs w:val="28"/>
                <w:highlight w:val="none"/>
                <w:shd w:val="clear" w:color="auto" w:fill="FFFFFF"/>
              </w:rPr>
              <w:t xml:space="preserve">01 </w:t>
            </w:r>
            <w:r>
              <w:rPr>
                <w:rFonts w:ascii="Times New Roman" w:hAnsi="Times New Roman" w:eastAsia="楷体_GB2312" w:cs="Times New Roman"/>
                <w:b/>
                <w:bCs/>
                <w:color w:val="auto"/>
                <w:sz w:val="28"/>
                <w:szCs w:val="28"/>
                <w:highlight w:val="none"/>
                <w:shd w:val="clear" w:color="auto" w:fill="FFFFFF"/>
                <w:lang w:val="sq-AL"/>
              </w:rPr>
              <w:t>良种繁育基地</w:t>
            </w:r>
          </w:p>
          <w:p>
            <w:pPr>
              <w:pStyle w:val="22"/>
              <w:snapToGrid w:val="0"/>
              <w:spacing w:line="500" w:lineRule="exact"/>
              <w:ind w:left="307" w:leftChars="146" w:firstLine="0" w:firstLineChars="0"/>
              <w:rPr>
                <w:rFonts w:ascii="Times New Roman" w:hAnsi="Times New Roman"/>
                <w:color w:val="auto"/>
                <w:sz w:val="28"/>
                <w:szCs w:val="28"/>
                <w:highlight w:val="none"/>
                <w:lang w:val="sq-AL"/>
              </w:rPr>
            </w:pPr>
            <w:r>
              <w:rPr>
                <w:rFonts w:hint="eastAsia" w:ascii="Times New Roman" w:hAnsi="Times New Roman"/>
                <w:color w:val="auto"/>
                <w:sz w:val="28"/>
                <w:szCs w:val="28"/>
                <w:highlight w:val="none"/>
                <w:lang w:val="sq-AL"/>
              </w:rPr>
              <w:t>积极</w:t>
            </w:r>
            <w:r>
              <w:rPr>
                <w:rFonts w:ascii="Times New Roman" w:hAnsi="Times New Roman"/>
                <w:color w:val="auto"/>
                <w:sz w:val="28"/>
                <w:szCs w:val="28"/>
                <w:highlight w:val="none"/>
                <w:lang w:val="sq-AL"/>
              </w:rPr>
              <w:t>引进</w:t>
            </w:r>
            <w:r>
              <w:rPr>
                <w:rFonts w:hint="eastAsia" w:ascii="Times New Roman" w:hAnsi="Times New Roman"/>
                <w:color w:val="auto"/>
                <w:sz w:val="28"/>
                <w:szCs w:val="28"/>
                <w:highlight w:val="none"/>
                <w:lang w:val="sq-AL"/>
              </w:rPr>
              <w:t>“长白、大白、杜洛克”等优良品原种猪</w:t>
            </w:r>
            <w:r>
              <w:rPr>
                <w:rFonts w:ascii="Times New Roman" w:hAnsi="Times New Roman"/>
                <w:color w:val="auto"/>
                <w:sz w:val="28"/>
                <w:szCs w:val="28"/>
                <w:highlight w:val="none"/>
                <w:lang w:val="sq-AL"/>
              </w:rPr>
              <w:t>，</w:t>
            </w:r>
            <w:r>
              <w:rPr>
                <w:rFonts w:hint="eastAsia" w:ascii="Times New Roman" w:hAnsi="Times New Roman"/>
                <w:color w:val="auto"/>
                <w:sz w:val="28"/>
                <w:szCs w:val="28"/>
                <w:highlight w:val="none"/>
                <w:lang w:val="sq-AL"/>
              </w:rPr>
              <w:t>在</w:t>
            </w:r>
            <w:r>
              <w:rPr>
                <w:rFonts w:hint="eastAsia" w:ascii="Times New Roman" w:hAnsi="Times New Roman"/>
                <w:color w:val="auto"/>
                <w:sz w:val="28"/>
                <w:szCs w:val="28"/>
                <w:highlight w:val="none"/>
                <w:lang w:val="sq-AL" w:eastAsia="zh-CN"/>
              </w:rPr>
              <w:t>荥河镇、龙苍沟镇</w:t>
            </w:r>
            <w:r>
              <w:rPr>
                <w:rFonts w:hint="eastAsia" w:ascii="Times New Roman" w:hAnsi="Times New Roman"/>
                <w:color w:val="auto"/>
                <w:sz w:val="28"/>
                <w:szCs w:val="28"/>
                <w:highlight w:val="none"/>
                <w:lang w:val="sq-AL"/>
              </w:rPr>
              <w:t>新建</w:t>
            </w:r>
            <w:r>
              <w:rPr>
                <w:rFonts w:ascii="Times New Roman" w:hAnsi="Times New Roman"/>
                <w:color w:val="auto"/>
                <w:sz w:val="28"/>
                <w:szCs w:val="28"/>
                <w:highlight w:val="none"/>
                <w:lang w:val="sq-AL"/>
              </w:rPr>
              <w:t>3个种猪良种繁育基地。</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lang w:val="sq-AL"/>
              </w:rPr>
            </w:pPr>
            <w:r>
              <w:rPr>
                <w:rFonts w:ascii="Times New Roman" w:hAnsi="Times New Roman" w:eastAsia="楷体_GB2312" w:cs="Times New Roman"/>
                <w:b/>
                <w:bCs/>
                <w:color w:val="auto"/>
                <w:sz w:val="28"/>
                <w:szCs w:val="28"/>
                <w:highlight w:val="none"/>
                <w:shd w:val="clear" w:color="auto" w:fill="FFFFFF"/>
              </w:rPr>
              <w:t>02</w:t>
            </w:r>
            <w:r>
              <w:rPr>
                <w:rFonts w:ascii="Times New Roman" w:hAnsi="Times New Roman" w:eastAsia="楷体_GB2312" w:cs="Times New Roman"/>
                <w:b/>
                <w:bCs/>
                <w:color w:val="auto"/>
                <w:sz w:val="28"/>
                <w:szCs w:val="28"/>
                <w:highlight w:val="none"/>
                <w:shd w:val="clear" w:color="auto" w:fill="FFFFFF"/>
                <w:lang w:val="sq-AL"/>
              </w:rPr>
              <w:t>优质</w:t>
            </w:r>
            <w:r>
              <w:rPr>
                <w:rFonts w:hint="eastAsia" w:ascii="Times New Roman" w:hAnsi="Times New Roman" w:eastAsia="楷体_GB2312" w:cs="Times New Roman"/>
                <w:b/>
                <w:bCs/>
                <w:color w:val="auto"/>
                <w:sz w:val="28"/>
                <w:szCs w:val="28"/>
                <w:highlight w:val="none"/>
                <w:shd w:val="clear" w:color="auto" w:fill="FFFFFF"/>
                <w:lang w:val="sq-AL"/>
              </w:rPr>
              <w:t>生猪标准化养殖基地</w:t>
            </w:r>
          </w:p>
          <w:p>
            <w:pPr>
              <w:pStyle w:val="22"/>
              <w:snapToGrid w:val="0"/>
              <w:spacing w:line="500" w:lineRule="exact"/>
              <w:ind w:left="307" w:leftChars="146" w:firstLine="0" w:firstLineChars="0"/>
              <w:rPr>
                <w:rFonts w:ascii="Times New Roman" w:hAnsi="Times New Roman"/>
                <w:color w:val="auto"/>
                <w:sz w:val="28"/>
                <w:szCs w:val="28"/>
                <w:highlight w:val="none"/>
                <w:lang w:val="sq-AL"/>
              </w:rPr>
            </w:pPr>
            <w:r>
              <w:rPr>
                <w:rFonts w:ascii="Times New Roman" w:hAnsi="Times New Roman"/>
                <w:color w:val="auto"/>
                <w:sz w:val="28"/>
                <w:szCs w:val="28"/>
                <w:highlight w:val="none"/>
                <w:lang w:val="sq-AL"/>
              </w:rPr>
              <w:t>以“六方合作＋保险”机制带动生猪产业发展，推进田坝养猪场、紫炉循环农业生态园、民建循环农业生态园、宝峰立体循环生态种养园、花滩、新添等养殖项目建设，建设现代化标准规模养殖、育肥场，配套开展畜禽饲料生产加工和养殖建材开发建设，配置自动化输料、清粪、通风、照明、温控、有害气体控制及污水处理、畜禽消毒与无害化处理等设施设备。</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lang w:val="sq-AL"/>
              </w:rPr>
            </w:pPr>
            <w:r>
              <w:rPr>
                <w:rFonts w:ascii="Times New Roman" w:hAnsi="Times New Roman" w:eastAsia="楷体_GB2312" w:cs="Times New Roman"/>
                <w:b/>
                <w:bCs/>
                <w:color w:val="auto"/>
                <w:sz w:val="28"/>
                <w:szCs w:val="28"/>
                <w:highlight w:val="none"/>
                <w:shd w:val="clear" w:color="auto" w:fill="FFFFFF"/>
              </w:rPr>
              <w:t xml:space="preserve">03 </w:t>
            </w:r>
            <w:r>
              <w:rPr>
                <w:rFonts w:ascii="Times New Roman" w:hAnsi="Times New Roman" w:eastAsia="楷体_GB2312" w:cs="Times New Roman"/>
                <w:b/>
                <w:bCs/>
                <w:color w:val="auto"/>
                <w:sz w:val="28"/>
                <w:szCs w:val="28"/>
                <w:highlight w:val="none"/>
                <w:shd w:val="clear" w:color="auto" w:fill="FFFFFF"/>
                <w:lang w:val="sq-AL"/>
              </w:rPr>
              <w:t>畜禽养殖面源污染治理工程</w:t>
            </w:r>
          </w:p>
          <w:p>
            <w:pPr>
              <w:pStyle w:val="22"/>
              <w:snapToGrid w:val="0"/>
              <w:spacing w:line="500" w:lineRule="exact"/>
              <w:ind w:left="307" w:leftChars="146" w:firstLine="0" w:firstLineChars="0"/>
              <w:rPr>
                <w:rFonts w:ascii="Times New Roman" w:hAnsi="Times New Roman"/>
                <w:color w:val="auto"/>
                <w:sz w:val="28"/>
                <w:szCs w:val="28"/>
                <w:highlight w:val="none"/>
                <w:lang w:val="sq-AL"/>
              </w:rPr>
            </w:pPr>
            <w:r>
              <w:rPr>
                <w:rFonts w:ascii="Times New Roman" w:hAnsi="Times New Roman"/>
                <w:color w:val="auto"/>
                <w:sz w:val="28"/>
                <w:szCs w:val="28"/>
                <w:highlight w:val="none"/>
                <w:lang w:val="sq-AL"/>
              </w:rPr>
              <w:t>以种养循环、零排放标准，对已经建成的粗放型规模养殖场进行标准化改造，提高实施畜禽养殖废弃物资源化利用，配备畜禽养殖粪污处理设施，全县规模以下畜禽养殖粪污资源化利用率达81%。</w:t>
            </w:r>
          </w:p>
        </w:tc>
      </w:tr>
    </w:tbl>
    <w:p>
      <w:pPr>
        <w:pStyle w:val="4"/>
        <w:keepLines w:val="0"/>
        <w:numPr>
          <w:ilvl w:val="1"/>
          <w:numId w:val="3"/>
        </w:numPr>
        <w:spacing w:before="312" w:beforeLines="100" w:after="312" w:afterLines="100" w:line="620" w:lineRule="exact"/>
        <w:jc w:val="center"/>
        <w:rPr>
          <w:rFonts w:ascii="Times New Roman" w:hAnsi="Times New Roman" w:cs="Times New Roman"/>
          <w:b/>
          <w:bCs/>
          <w:color w:val="auto"/>
          <w:highlight w:val="none"/>
        </w:rPr>
      </w:pPr>
      <w:bookmarkStart w:id="247" w:name="_Toc14957"/>
      <w:bookmarkStart w:id="248" w:name="_Toc15603"/>
      <w:bookmarkStart w:id="249" w:name="_Toc75731148"/>
      <w:r>
        <w:rPr>
          <w:rFonts w:ascii="Times New Roman" w:hAnsi="Times New Roman" w:cs="Times New Roman"/>
          <w:b/>
          <w:bCs/>
          <w:color w:val="auto"/>
          <w:highlight w:val="none"/>
        </w:rPr>
        <w:t>提档强化林竹产业</w:t>
      </w:r>
      <w:bookmarkEnd w:id="246"/>
      <w:bookmarkEnd w:id="247"/>
      <w:bookmarkEnd w:id="248"/>
      <w:bookmarkEnd w:id="249"/>
    </w:p>
    <w:p>
      <w:pPr>
        <w:adjustRightInd w:val="0"/>
        <w:snapToGrid w:val="0"/>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以建成全省重要的现代特色林业强县为目标，以城乡绿化一体化、产业发展现代化、生态文化特色化为原则，推进林竹</w:t>
      </w:r>
      <w:r>
        <w:rPr>
          <w:rFonts w:hint="eastAsia" w:ascii="Times New Roman" w:hAnsi="Times New Roman" w:eastAsia="仿宋_GB2312" w:cs="Times New Roman"/>
          <w:color w:val="auto"/>
          <w:sz w:val="32"/>
          <w:szCs w:val="32"/>
          <w:highlight w:val="none"/>
        </w:rPr>
        <w:t>标准化</w:t>
      </w:r>
      <w:r>
        <w:rPr>
          <w:rFonts w:ascii="Times New Roman" w:hAnsi="Times New Roman" w:eastAsia="仿宋_GB2312" w:cs="Times New Roman"/>
          <w:color w:val="auto"/>
          <w:sz w:val="32"/>
          <w:szCs w:val="32"/>
          <w:highlight w:val="none"/>
        </w:rPr>
        <w:t>基地建设，加快精深加工、农旅融合发展，促使林竹产业向原料培育和高附加值终端产品的生产两方面延伸，使荥经县林竹资源利用更加高效、产业体系更加发达。到2025年，全县林竹产业基地面积达50万亩，实现林竹综合产值5亿元，成功创建省现代林业园区1个。</w:t>
      </w:r>
    </w:p>
    <w:p>
      <w:pPr>
        <w:adjustRightInd w:val="0"/>
        <w:snapToGrid w:val="0"/>
        <w:spacing w:line="560" w:lineRule="exact"/>
        <w:ind w:firstLine="642" w:firstLineChars="200"/>
        <w:rPr>
          <w:rFonts w:ascii="Times New Roman" w:hAnsi="Times New Roman" w:eastAsia="仿宋_GB2312" w:cs="Times New Roman"/>
          <w:color w:val="auto"/>
          <w:sz w:val="32"/>
          <w:szCs w:val="32"/>
          <w:highlight w:val="none"/>
        </w:rPr>
      </w:pPr>
      <w:bookmarkStart w:id="250" w:name="_Toc5290"/>
      <w:bookmarkStart w:id="251" w:name="_Toc5566"/>
      <w:bookmarkStart w:id="252" w:name="_Toc20283"/>
      <w:bookmarkStart w:id="253" w:name="_Toc3266"/>
      <w:r>
        <w:rPr>
          <w:rFonts w:ascii="Times New Roman" w:hAnsi="Times New Roman" w:eastAsia="仿宋_GB2312" w:cs="Times New Roman"/>
          <w:b/>
          <w:bCs/>
          <w:color w:val="auto"/>
          <w:sz w:val="32"/>
          <w:szCs w:val="32"/>
          <w:highlight w:val="none"/>
        </w:rPr>
        <w:t>发展林竹基地建设</w:t>
      </w:r>
      <w:bookmarkEnd w:id="250"/>
      <w:bookmarkEnd w:id="251"/>
      <w:bookmarkEnd w:id="252"/>
      <w:bookmarkEnd w:id="253"/>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按照“整体打造、集中连片、综合示范”的原则，在龙苍沟镇、五宪镇、花滩镇、青龙镇、严道街道建设桢楠种植基地2万亩。对现有慈竹、白夹竹、水竹林和方竹成片竹林区域及周围地区实施复垦和施肥改造，建方竹林基地10万亩，配套新建林间作业道等基础设施；新栽、抚育10000亩优质食用笋；改造现有成片低产竹林区16万亩，原笋产量达到5万吨；建立采种基地2000亩。发展林下经济，建成立体种植基地1万亩、药材种植基地3000亩，提高林地生产力，增加农民收入。在笋用方竹产业的重点发展区域，加大林区公路及园区内部的各类作业便道建设。</w:t>
      </w:r>
    </w:p>
    <w:p>
      <w:pPr>
        <w:adjustRightInd w:val="0"/>
        <w:snapToGrid w:val="0"/>
        <w:spacing w:line="560" w:lineRule="exact"/>
        <w:ind w:firstLine="642" w:firstLineChars="200"/>
        <w:rPr>
          <w:rFonts w:ascii="Times New Roman" w:hAnsi="Times New Roman" w:eastAsia="仿宋_GB2312" w:cs="Times New Roman"/>
          <w:color w:val="auto"/>
          <w:sz w:val="32"/>
          <w:szCs w:val="32"/>
          <w:highlight w:val="none"/>
        </w:rPr>
      </w:pPr>
      <w:bookmarkStart w:id="254" w:name="_Toc21599"/>
      <w:bookmarkStart w:id="255" w:name="_Toc6011"/>
      <w:bookmarkStart w:id="256" w:name="_Toc3873"/>
      <w:bookmarkStart w:id="257" w:name="_Toc30772"/>
      <w:r>
        <w:rPr>
          <w:rFonts w:ascii="Times New Roman" w:hAnsi="Times New Roman" w:eastAsia="仿宋_GB2312" w:cs="Times New Roman"/>
          <w:b/>
          <w:bCs/>
          <w:color w:val="auto"/>
          <w:sz w:val="32"/>
          <w:szCs w:val="32"/>
          <w:highlight w:val="none"/>
        </w:rPr>
        <w:t>推动林竹产品深加工</w:t>
      </w:r>
      <w:bookmarkEnd w:id="254"/>
      <w:bookmarkEnd w:id="255"/>
      <w:bookmarkEnd w:id="256"/>
      <w:bookmarkEnd w:id="257"/>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扶持技术基础好、经济实力雄厚、年加工能力强的木材加工企业2家，主要生产锯材、指接板、木工板、饰面板及家具等深加工产品。引进以方竹笋为主的食品加工企业1家，适度引进以竹炭、竹纤维、竹叶黄酮、竹醋液、竹饮料加工为主的各类加工企业，推动竹产品精深加工，延长产业链条，提升竹产品附加值。</w:t>
      </w:r>
    </w:p>
    <w:p>
      <w:pPr>
        <w:adjustRightInd w:val="0"/>
        <w:snapToGrid w:val="0"/>
        <w:spacing w:line="560" w:lineRule="exact"/>
        <w:ind w:firstLine="642" w:firstLineChars="200"/>
        <w:rPr>
          <w:rFonts w:ascii="Times New Roman" w:hAnsi="Times New Roman" w:eastAsia="仿宋_GB2312" w:cs="Times New Roman"/>
          <w:color w:val="auto"/>
          <w:sz w:val="32"/>
          <w:szCs w:val="32"/>
          <w:highlight w:val="none"/>
        </w:rPr>
      </w:pPr>
      <w:bookmarkStart w:id="258" w:name="_Toc17079"/>
      <w:bookmarkStart w:id="259" w:name="_Toc25079"/>
      <w:bookmarkStart w:id="260" w:name="_Toc4706"/>
      <w:bookmarkStart w:id="261" w:name="_Toc3518"/>
      <w:r>
        <w:rPr>
          <w:rFonts w:ascii="Times New Roman" w:hAnsi="Times New Roman" w:eastAsia="仿宋_GB2312" w:cs="Times New Roman"/>
          <w:b/>
          <w:bCs/>
          <w:color w:val="auto"/>
          <w:sz w:val="32"/>
          <w:szCs w:val="32"/>
          <w:highlight w:val="none"/>
        </w:rPr>
        <w:t>促进林竹（花卉）融合发展</w:t>
      </w:r>
      <w:bookmarkEnd w:id="258"/>
      <w:bookmarkEnd w:id="259"/>
      <w:bookmarkEnd w:id="260"/>
      <w:bookmarkEnd w:id="261"/>
      <w:r>
        <w:rPr>
          <w:rFonts w:ascii="Times New Roman" w:hAnsi="Times New Roman" w:eastAsia="仿宋_GB2312" w:cs="Times New Roman"/>
          <w:b/>
          <w:bCs/>
          <w:color w:val="auto"/>
          <w:sz w:val="32"/>
          <w:szCs w:val="32"/>
          <w:highlight w:val="none"/>
        </w:rPr>
        <w:t>。一是</w:t>
      </w:r>
      <w:r>
        <w:rPr>
          <w:rFonts w:hint="eastAsia" w:ascii="Times New Roman" w:hAnsi="Times New Roman" w:eastAsia="仿宋_GB2312" w:cs="Times New Roman"/>
          <w:b/>
          <w:bCs/>
          <w:color w:val="auto"/>
          <w:sz w:val="32"/>
          <w:szCs w:val="32"/>
          <w:highlight w:val="none"/>
        </w:rPr>
        <w:t>加快</w:t>
      </w:r>
      <w:r>
        <w:rPr>
          <w:rFonts w:ascii="Times New Roman" w:hAnsi="Times New Roman" w:eastAsia="仿宋_GB2312" w:cs="Times New Roman"/>
          <w:b/>
          <w:bCs/>
          <w:color w:val="auto"/>
          <w:sz w:val="32"/>
          <w:szCs w:val="32"/>
          <w:highlight w:val="none"/>
        </w:rPr>
        <w:t>林竹旅游</w:t>
      </w:r>
      <w:r>
        <w:rPr>
          <w:rFonts w:hint="eastAsia" w:ascii="Times New Roman" w:hAnsi="Times New Roman" w:eastAsia="仿宋_GB2312" w:cs="Times New Roman"/>
          <w:b/>
          <w:bCs/>
          <w:color w:val="auto"/>
          <w:sz w:val="32"/>
          <w:szCs w:val="32"/>
          <w:highlight w:val="none"/>
        </w:rPr>
        <w:t>发展</w:t>
      </w:r>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依托广阔的林竹资源，特别是世界最大的野生珙桐林、全国最大的古桢楠群落及中国最美桢楠树，开展多种形式的森林旅游项目</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在林竹果蔬产业环线上，选择观光效果好、基础设施条件较好的笋用方竹种植基地，加大竹林景观培育、修建健康步道等基础设施建设，配备旅游度假和养生休闲的相关设施，配合发展种类丰富、绿色养生的竹源食品，形成集竹文化、竹餐饮、竹工艺、竹产品展示为一体的旅游综合体，培育以大熊猫食竹景观为特色的原生态竹旅游示范区</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深入挖掘和深度包装，做好荥经林竹产品的旅游纪念品开发，重点开发笋用方竹的系列产品。</w:t>
      </w:r>
      <w:r>
        <w:rPr>
          <w:rFonts w:ascii="Times New Roman" w:hAnsi="Times New Roman" w:eastAsia="仿宋_GB2312" w:cs="Times New Roman"/>
          <w:b/>
          <w:bCs/>
          <w:color w:val="auto"/>
          <w:sz w:val="32"/>
          <w:szCs w:val="32"/>
          <w:highlight w:val="none"/>
        </w:rPr>
        <w:t>二是推进兰花特色旅游和科普。</w:t>
      </w:r>
      <w:r>
        <w:rPr>
          <w:rFonts w:ascii="Times New Roman" w:hAnsi="Times New Roman" w:eastAsia="仿宋_GB2312" w:cs="Times New Roman"/>
          <w:color w:val="auto"/>
          <w:sz w:val="32"/>
          <w:szCs w:val="32"/>
          <w:highlight w:val="none"/>
        </w:rPr>
        <w:t>完善兰家山旅游公路、内部景观道路、主题广场、停车场、住宿等旅游基础设施设置，从花卉观光、休闲互动、餐饮服务等多个方面，增加与兰花主题有关的旅游项目，形成特色鲜明的主题文化体验项目，打造以兰家山为核心的集旅游观光、市民休闲、兰花产业发展为一体的生态农业综合体。以兰花元素为主题，扩大“荷瓣之都”品牌影响，做好兰花特色品牌地域保护，以兰花文化为媒利用在兰花产业上悠久的种植传统及文化，。引进先进的设施、种植技术，聘请教授、专家进园开展科研、教学、生产活动，</w:t>
      </w:r>
      <w:r>
        <w:rPr>
          <w:rFonts w:hint="eastAsia" w:ascii="Times New Roman" w:hAnsi="Times New Roman" w:eastAsia="仿宋_GB2312" w:cs="Times New Roman"/>
          <w:color w:val="auto"/>
          <w:sz w:val="32"/>
          <w:szCs w:val="32"/>
          <w:highlight w:val="none"/>
        </w:rPr>
        <w:t>建成</w:t>
      </w:r>
      <w:r>
        <w:rPr>
          <w:rFonts w:ascii="Times New Roman" w:hAnsi="Times New Roman" w:eastAsia="仿宋_GB2312" w:cs="Times New Roman"/>
          <w:color w:val="auto"/>
          <w:sz w:val="32"/>
          <w:szCs w:val="32"/>
          <w:highlight w:val="none"/>
        </w:rPr>
        <w:t>集中展示兰花品种、技术、文化，形成集生态旅游、科普教育、文化欣赏、休闲娱乐、特色美食、科学考察、教学实习等于一体的“中国兰花主题博览园”</w:t>
      </w:r>
      <w:r>
        <w:rPr>
          <w:rFonts w:hint="eastAsia" w:ascii="Times New Roman" w:hAnsi="Times New Roman" w:eastAsia="仿宋_GB2312" w:cs="Times New Roman"/>
          <w:color w:val="auto"/>
          <w:sz w:val="32"/>
          <w:szCs w:val="32"/>
          <w:highlight w:val="none"/>
        </w:rPr>
        <w:t>，打造</w:t>
      </w:r>
      <w:r>
        <w:rPr>
          <w:rFonts w:ascii="Times New Roman" w:hAnsi="Times New Roman" w:eastAsia="仿宋_GB2312" w:cs="Times New Roman"/>
          <w:color w:val="auto"/>
          <w:sz w:val="32"/>
          <w:szCs w:val="32"/>
          <w:highlight w:val="none"/>
        </w:rPr>
        <w:t>四川省重点兰花科普展示窗口。</w:t>
      </w:r>
    </w:p>
    <w:p>
      <w:pPr>
        <w:pStyle w:val="22"/>
        <w:snapToGrid w:val="0"/>
        <w:spacing w:before="156" w:beforeLines="50" w:after="156" w:afterLines="50" w:line="580" w:lineRule="exact"/>
        <w:ind w:firstLine="0" w:firstLineChars="0"/>
        <w:jc w:val="center"/>
        <w:rPr>
          <w:rFonts w:ascii="Times New Roman" w:hAnsi="Times New Roman" w:eastAsia="黑体"/>
          <w:b/>
          <w:bCs/>
          <w:color w:val="auto"/>
          <w:sz w:val="28"/>
          <w:szCs w:val="28"/>
          <w:highlight w:val="none"/>
          <w:shd w:val="clear" w:color="auto" w:fill="FFFFFF"/>
        </w:rPr>
      </w:pPr>
      <w:r>
        <w:rPr>
          <w:rFonts w:ascii="Times New Roman" w:hAnsi="Times New Roman" w:eastAsia="黑体"/>
          <w:b/>
          <w:bCs/>
          <w:color w:val="auto"/>
          <w:sz w:val="28"/>
          <w:szCs w:val="28"/>
          <w:highlight w:val="none"/>
          <w:shd w:val="clear" w:color="auto" w:fill="FFFFFF"/>
        </w:rPr>
        <w:t>专栏5  林竹产业提档强化工程</w:t>
      </w:r>
    </w:p>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01 现代林竹产业省级园区创建</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以龙苍沟镇、青龙镇、五宪镇为核心，深化竹风景、竹文化、竹产业的高质量融合发展，打造省级现代林竹产业园区，推进竹产业示范基地建设，合理布局加工物流、科技研发、综合服务、休闲旅游等功能板块，推进竹产业加工基地、翠竹风景线、林竹小镇、竹林人家等建设。</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02 优质林木基地扩建</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按照“整体打造、集中连片、综合示范”的原则，新建桢楠种植基地2万亩，改扩建林区道路200公里。</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03 竹林基地提质增效</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新建方竹林基地10万亩，配套新建林间作业道等基础设施；新栽、抚育1万亩优质食用笋；改造现有成片低产竹林区16万亩，原笋产量达到5万吨；建立采种基地2000亩，建设林区生产作业便道。</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04 林下种养基地建设</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在现有基础上，新发展薇菜种植面积1万亩，利用野花、树花开展蜜蜂养殖；建设林下家禽养殖基地2个；探索林药种植模式，建设药材种植基地3000亩。</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 xml:space="preserve">05 </w:t>
            </w:r>
            <w:r>
              <w:rPr>
                <w:rFonts w:ascii="Times New Roman" w:hAnsi="Times New Roman" w:eastAsia="楷体_GB2312" w:cs="Times New Roman"/>
                <w:b/>
                <w:bCs/>
                <w:color w:val="auto"/>
                <w:sz w:val="28"/>
                <w:szCs w:val="28"/>
                <w:highlight w:val="none"/>
                <w:shd w:val="clear" w:color="auto" w:fill="FFFFFF"/>
                <w:lang w:val="sq-AL"/>
              </w:rPr>
              <w:t>竹笋加工示范产业园</w:t>
            </w:r>
            <w:r>
              <w:rPr>
                <w:rFonts w:ascii="Times New Roman" w:hAnsi="Times New Roman" w:eastAsia="楷体_GB2312" w:cs="Times New Roman"/>
                <w:b/>
                <w:bCs/>
                <w:color w:val="auto"/>
                <w:sz w:val="28"/>
                <w:szCs w:val="28"/>
                <w:highlight w:val="none"/>
                <w:shd w:val="clear" w:color="auto" w:fill="FFFFFF"/>
              </w:rPr>
              <w:t>建设</w:t>
            </w:r>
          </w:p>
          <w:p>
            <w:pPr>
              <w:pStyle w:val="22"/>
              <w:snapToGrid w:val="0"/>
              <w:spacing w:line="500" w:lineRule="exact"/>
              <w:ind w:left="307" w:leftChars="146" w:firstLine="0" w:firstLineChars="0"/>
              <w:rPr>
                <w:rFonts w:ascii="Times New Roman" w:hAnsi="Times New Roman"/>
                <w:color w:val="auto"/>
                <w:sz w:val="28"/>
                <w:szCs w:val="28"/>
                <w:highlight w:val="none"/>
                <w:lang w:val="sq-AL"/>
              </w:rPr>
            </w:pPr>
            <w:r>
              <w:rPr>
                <w:rFonts w:ascii="Times New Roman" w:hAnsi="Times New Roman"/>
                <w:color w:val="auto"/>
                <w:sz w:val="28"/>
                <w:szCs w:val="28"/>
                <w:highlight w:val="none"/>
                <w:lang w:val="sq-AL"/>
              </w:rPr>
              <w:t>建设竹笋加工示范园产业区，配套竹笋加工车间、园区云仓和配套初加工点，扶持2家技术基础好、经济实力雄厚、年加工能力8万立方米的木材加工企业，打造省林业重点龙头企业2家，引进竹类产品加工企业2家，笋用竹加工企业1家，开发竹笋、竹炭系列产品、竹纤维家纺等加工项目。</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06 兰花加工培育</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培植兰花加工企业2家，依靠高科技手段，研发兰花相关产品，提高兰花产品附加值和销售档次。</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07 竹旅融合提升</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对青龙-五宪、青龙-龙苍沟沿线林竹产业进行新建、改造提升，对环线上重要节点上密集竹林进行创意设计造型和沿途竹文化打造，建设竹廊、竹海观赏区、林海湿地、林海露营区、林地户外运动体验区、烟溪竹筏游等林旅融合功能区，完善配套相关旅游标牌标识等。</w:t>
            </w:r>
          </w:p>
        </w:tc>
      </w:tr>
    </w:tbl>
    <w:p>
      <w:pPr>
        <w:pStyle w:val="4"/>
        <w:keepLines w:val="0"/>
        <w:numPr>
          <w:ilvl w:val="1"/>
          <w:numId w:val="3"/>
        </w:numPr>
        <w:spacing w:before="312" w:beforeLines="100" w:after="312" w:afterLines="100" w:line="620" w:lineRule="exact"/>
        <w:jc w:val="center"/>
        <w:rPr>
          <w:rFonts w:ascii="Times New Roman" w:hAnsi="Times New Roman" w:cs="Times New Roman"/>
          <w:b/>
          <w:bCs/>
          <w:color w:val="auto"/>
          <w:highlight w:val="none"/>
        </w:rPr>
      </w:pPr>
      <w:bookmarkStart w:id="262" w:name="_Toc4222"/>
      <w:bookmarkStart w:id="263" w:name="_Toc14358"/>
      <w:bookmarkStart w:id="264" w:name="_Toc14762"/>
      <w:bookmarkStart w:id="265" w:name="_Toc75731149"/>
      <w:r>
        <w:rPr>
          <w:rFonts w:ascii="Times New Roman" w:hAnsi="Times New Roman" w:cs="Times New Roman"/>
          <w:b/>
          <w:bCs/>
          <w:color w:val="auto"/>
          <w:highlight w:val="none"/>
        </w:rPr>
        <w:t>加快发展中药材产业</w:t>
      </w:r>
      <w:bookmarkEnd w:id="262"/>
      <w:bookmarkEnd w:id="263"/>
      <w:bookmarkEnd w:id="264"/>
      <w:bookmarkEnd w:id="265"/>
    </w:p>
    <w:p>
      <w:pPr>
        <w:snapToGrid w:val="0"/>
        <w:spacing w:line="560" w:lineRule="exact"/>
        <w:ind w:firstLine="640"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按照“品牌做响、特色做强、生态做优、规模做大”的总要求，狠抓优质育苗基地建设、精心培育产业龙头、扶持新型经营主体，优化服务、科学监管、物流建设、市场营销等关键环节，继续巩固中药材种植业，加大扶持中药材加工业，积极培育中药材服务业，促进荥经县中药材产业规模与质量同步提升，加强技术、技能培训，促进初级产品就地转化效率达75%，使中药材产业成为荥经县百姓致富增收的重要渠道。到2025年，全县天麻、川黄柏等草本、木本中药材种植面积达25万亩，经济产值达5亿元。</w:t>
      </w:r>
    </w:p>
    <w:p>
      <w:pPr>
        <w:snapToGrid w:val="0"/>
        <w:spacing w:line="560" w:lineRule="exact"/>
        <w:ind w:firstLine="642" w:firstLineChars="200"/>
        <w:rPr>
          <w:rFonts w:ascii="Times New Roman" w:hAnsi="Times New Roman" w:eastAsia="仿宋_GB2312" w:cs="Times New Roman"/>
          <w:bCs/>
          <w:color w:val="auto"/>
          <w:sz w:val="32"/>
          <w:szCs w:val="32"/>
          <w:highlight w:val="none"/>
        </w:rPr>
      </w:pPr>
      <w:bookmarkStart w:id="266" w:name="_Toc1037"/>
      <w:bookmarkStart w:id="267" w:name="_Toc32134"/>
      <w:bookmarkStart w:id="268" w:name="_Toc21451"/>
      <w:bookmarkStart w:id="269" w:name="_Toc23705"/>
      <w:r>
        <w:rPr>
          <w:rFonts w:ascii="Times New Roman" w:hAnsi="Times New Roman" w:eastAsia="仿宋_GB2312" w:cs="Times New Roman"/>
          <w:b/>
          <w:color w:val="auto"/>
          <w:sz w:val="32"/>
          <w:szCs w:val="32"/>
          <w:highlight w:val="none"/>
        </w:rPr>
        <w:t>加强中药材基地建设</w:t>
      </w:r>
      <w:bookmarkEnd w:id="266"/>
      <w:bookmarkEnd w:id="267"/>
      <w:bookmarkEnd w:id="268"/>
      <w:bookmarkEnd w:id="269"/>
      <w:r>
        <w:rPr>
          <w:rFonts w:ascii="Times New Roman" w:hAnsi="Times New Roman" w:eastAsia="仿宋_GB2312" w:cs="Times New Roman"/>
          <w:b/>
          <w:color w:val="auto"/>
          <w:sz w:val="32"/>
          <w:szCs w:val="32"/>
          <w:highlight w:val="none"/>
        </w:rPr>
        <w:t>。一是提升优质川黄柏产业基地。</w:t>
      </w:r>
      <w:r>
        <w:rPr>
          <w:rFonts w:ascii="Times New Roman" w:hAnsi="Times New Roman" w:eastAsia="仿宋_GB2312" w:cs="Times New Roman"/>
          <w:bCs/>
          <w:color w:val="auto"/>
          <w:sz w:val="32"/>
          <w:szCs w:val="32"/>
          <w:highlight w:val="none"/>
        </w:rPr>
        <w:t>以安靖乡、龙苍沟镇、新添镇、花滩镇、青龙镇</w:t>
      </w:r>
      <w:r>
        <w:rPr>
          <w:rFonts w:hint="eastAsia" w:ascii="Times New Roman" w:hAnsi="Times New Roman" w:eastAsia="仿宋_GB2312" w:cs="Times New Roman"/>
          <w:bCs/>
          <w:color w:val="auto"/>
          <w:sz w:val="32"/>
          <w:szCs w:val="32"/>
          <w:highlight w:val="none"/>
        </w:rPr>
        <w:t>等乡镇</w:t>
      </w:r>
      <w:r>
        <w:rPr>
          <w:rFonts w:ascii="Times New Roman" w:hAnsi="Times New Roman" w:eastAsia="仿宋_GB2312" w:cs="Times New Roman"/>
          <w:bCs/>
          <w:color w:val="auto"/>
          <w:sz w:val="32"/>
          <w:szCs w:val="32"/>
          <w:highlight w:val="none"/>
        </w:rPr>
        <w:t>为核心，</w:t>
      </w:r>
      <w:r>
        <w:rPr>
          <w:rFonts w:hint="eastAsia" w:ascii="Times New Roman" w:hAnsi="Times New Roman" w:eastAsia="仿宋_GB2312" w:cs="Times New Roman"/>
          <w:bCs/>
          <w:color w:val="auto"/>
          <w:sz w:val="32"/>
          <w:szCs w:val="32"/>
          <w:highlight w:val="none"/>
        </w:rPr>
        <w:t>在</w:t>
      </w:r>
      <w:r>
        <w:rPr>
          <w:rFonts w:ascii="Times New Roman" w:hAnsi="Times New Roman" w:eastAsia="仿宋_GB2312" w:cs="Times New Roman"/>
          <w:bCs/>
          <w:color w:val="auto"/>
          <w:sz w:val="32"/>
          <w:szCs w:val="32"/>
          <w:highlight w:val="none"/>
        </w:rPr>
        <w:t>海拔1650米以下</w:t>
      </w:r>
      <w:r>
        <w:rPr>
          <w:rFonts w:hint="eastAsia" w:ascii="Times New Roman" w:hAnsi="Times New Roman" w:eastAsia="仿宋_GB2312" w:cs="Times New Roman"/>
          <w:bCs/>
          <w:color w:val="auto"/>
          <w:sz w:val="32"/>
          <w:szCs w:val="32"/>
          <w:highlight w:val="none"/>
        </w:rPr>
        <w:t>、</w:t>
      </w:r>
      <w:r>
        <w:rPr>
          <w:rFonts w:ascii="Times New Roman" w:hAnsi="Times New Roman" w:eastAsia="仿宋_GB2312" w:cs="Times New Roman"/>
          <w:bCs/>
          <w:color w:val="auto"/>
          <w:sz w:val="32"/>
          <w:szCs w:val="32"/>
          <w:highlight w:val="none"/>
        </w:rPr>
        <w:t>坡度25%以上商品林地</w:t>
      </w:r>
      <w:r>
        <w:rPr>
          <w:rFonts w:hint="eastAsia" w:ascii="Times New Roman" w:hAnsi="Times New Roman" w:eastAsia="仿宋_GB2312" w:cs="Times New Roman"/>
          <w:bCs/>
          <w:color w:val="auto"/>
          <w:sz w:val="32"/>
          <w:szCs w:val="32"/>
          <w:highlight w:val="none"/>
        </w:rPr>
        <w:t>新改建黄柏基地2</w:t>
      </w:r>
      <w:r>
        <w:rPr>
          <w:rFonts w:ascii="Times New Roman" w:hAnsi="Times New Roman" w:eastAsia="仿宋_GB2312" w:cs="Times New Roman"/>
          <w:bCs/>
          <w:color w:val="auto"/>
          <w:sz w:val="32"/>
          <w:szCs w:val="32"/>
          <w:highlight w:val="none"/>
        </w:rPr>
        <w:t>3</w:t>
      </w:r>
      <w:r>
        <w:rPr>
          <w:rFonts w:hint="eastAsia" w:ascii="Times New Roman" w:hAnsi="Times New Roman" w:eastAsia="仿宋_GB2312" w:cs="Times New Roman"/>
          <w:bCs/>
          <w:color w:val="auto"/>
          <w:sz w:val="32"/>
          <w:szCs w:val="32"/>
          <w:highlight w:val="none"/>
        </w:rPr>
        <w:t>万亩。加快建设专家大院，</w:t>
      </w:r>
      <w:r>
        <w:rPr>
          <w:rFonts w:ascii="Times New Roman" w:hAnsi="Times New Roman" w:eastAsia="仿宋_GB2312" w:cs="Times New Roman"/>
          <w:bCs/>
          <w:color w:val="auto"/>
          <w:sz w:val="32"/>
          <w:szCs w:val="32"/>
          <w:highlight w:val="none"/>
        </w:rPr>
        <w:t>按照GAP（良好农业规范）要求</w:t>
      </w:r>
      <w:r>
        <w:rPr>
          <w:rFonts w:hint="eastAsia" w:ascii="Times New Roman" w:hAnsi="Times New Roman" w:eastAsia="仿宋_GB2312" w:cs="Times New Roman"/>
          <w:bCs/>
          <w:color w:val="auto"/>
          <w:sz w:val="32"/>
          <w:szCs w:val="32"/>
          <w:highlight w:val="none"/>
        </w:rPr>
        <w:t>推进</w:t>
      </w:r>
      <w:r>
        <w:rPr>
          <w:rFonts w:ascii="Times New Roman" w:hAnsi="Times New Roman" w:eastAsia="仿宋_GB2312" w:cs="Times New Roman"/>
          <w:bCs/>
          <w:color w:val="auto"/>
          <w:sz w:val="32"/>
          <w:szCs w:val="32"/>
          <w:highlight w:val="none"/>
        </w:rPr>
        <w:t>建设川黄柏苗圃</w:t>
      </w:r>
      <w:r>
        <w:rPr>
          <w:rFonts w:hint="eastAsia" w:ascii="Times New Roman" w:hAnsi="Times New Roman" w:eastAsia="仿宋_GB2312" w:cs="Times New Roman"/>
          <w:bCs/>
          <w:color w:val="auto"/>
          <w:sz w:val="32"/>
          <w:szCs w:val="32"/>
          <w:highlight w:val="none"/>
        </w:rPr>
        <w:t>科研</w:t>
      </w:r>
      <w:r>
        <w:rPr>
          <w:rFonts w:ascii="Times New Roman" w:hAnsi="Times New Roman" w:eastAsia="仿宋_GB2312" w:cs="Times New Roman"/>
          <w:bCs/>
          <w:color w:val="auto"/>
          <w:sz w:val="32"/>
          <w:szCs w:val="32"/>
          <w:highlight w:val="none"/>
        </w:rPr>
        <w:t>基地，结合黄柏活树剥皮技术、黄柏方竹复合林营造技术、林下养殖技术的探索，将种苗培育，生产管理，科学研究形成一套较为系统的管理和技术体系。</w:t>
      </w:r>
      <w:r>
        <w:rPr>
          <w:rFonts w:ascii="Times New Roman" w:hAnsi="Times New Roman" w:eastAsia="仿宋_GB2312" w:cs="Times New Roman"/>
          <w:b/>
          <w:color w:val="auto"/>
          <w:sz w:val="32"/>
          <w:szCs w:val="32"/>
          <w:highlight w:val="none"/>
        </w:rPr>
        <w:t>二是建设天麻科研生产基地。</w:t>
      </w:r>
      <w:r>
        <w:rPr>
          <w:rFonts w:ascii="Times New Roman" w:hAnsi="Times New Roman" w:eastAsia="仿宋_GB2312" w:cs="Times New Roman"/>
          <w:bCs/>
          <w:color w:val="auto"/>
          <w:sz w:val="32"/>
          <w:szCs w:val="32"/>
          <w:highlight w:val="none"/>
        </w:rPr>
        <w:t>以泗坪乡为核心区，带动荥河镇、民建彝族乡、安靖乡、青龙镇、龙苍沟镇、新添镇等乡镇发展仿野生林下天麻基地3000亩。完善天麻研究所、工程技术中心、实验室配套设施建设，加强乌天麻的种植技术研发和普及，形成标准化的种植技术，规范林地选择、菌材培养、休眠期栽培、栽培期管理和病虫害防治的技术标准，确保乌天麻的收获品质</w:t>
      </w:r>
      <w:r>
        <w:rPr>
          <w:rFonts w:hint="eastAsia" w:ascii="Times New Roman" w:hAnsi="Times New Roman" w:eastAsia="仿宋_GB2312" w:cs="Times New Roman"/>
          <w:bCs/>
          <w:color w:val="auto"/>
          <w:sz w:val="32"/>
          <w:szCs w:val="32"/>
          <w:highlight w:val="none"/>
        </w:rPr>
        <w:t>。</w:t>
      </w:r>
      <w:r>
        <w:rPr>
          <w:rFonts w:ascii="Times New Roman" w:hAnsi="Times New Roman" w:eastAsia="仿宋_GB2312" w:cs="Times New Roman"/>
          <w:b/>
          <w:color w:val="auto"/>
          <w:sz w:val="32"/>
          <w:szCs w:val="32"/>
          <w:highlight w:val="none"/>
        </w:rPr>
        <w:t>三是建设大宗中药材生产基地。</w:t>
      </w:r>
      <w:r>
        <w:rPr>
          <w:rFonts w:ascii="Times New Roman" w:hAnsi="Times New Roman" w:eastAsia="仿宋_GB2312" w:cs="Times New Roman"/>
          <w:bCs/>
          <w:color w:val="auto"/>
          <w:sz w:val="32"/>
          <w:szCs w:val="32"/>
          <w:highlight w:val="none"/>
        </w:rPr>
        <w:t>以白芨、川牛膝、白芍等为代表，重点在泗坪乡建设</w:t>
      </w:r>
      <w:r>
        <w:rPr>
          <w:rFonts w:hint="eastAsia" w:ascii="Times New Roman" w:hAnsi="Times New Roman" w:eastAsia="仿宋_GB2312" w:cs="Times New Roman"/>
          <w:bCs/>
          <w:color w:val="auto"/>
          <w:sz w:val="32"/>
          <w:szCs w:val="32"/>
          <w:highlight w:val="none"/>
        </w:rPr>
        <w:t>白芨</w:t>
      </w:r>
      <w:r>
        <w:rPr>
          <w:rFonts w:ascii="Times New Roman" w:hAnsi="Times New Roman" w:eastAsia="仿宋_GB2312" w:cs="Times New Roman"/>
          <w:bCs/>
          <w:color w:val="auto"/>
          <w:sz w:val="32"/>
          <w:szCs w:val="32"/>
          <w:highlight w:val="none"/>
        </w:rPr>
        <w:t>生产基地，在荥河镇建设川牛膝标准化栽培基地。</w:t>
      </w:r>
      <w:r>
        <w:rPr>
          <w:rFonts w:ascii="Times New Roman" w:hAnsi="Times New Roman" w:eastAsia="仿宋_GB2312" w:cs="Times New Roman"/>
          <w:b/>
          <w:color w:val="auto"/>
          <w:sz w:val="32"/>
          <w:szCs w:val="32"/>
          <w:highlight w:val="none"/>
        </w:rPr>
        <w:t>四是建设濒危中药材生产基地。</w:t>
      </w:r>
      <w:r>
        <w:rPr>
          <w:rFonts w:ascii="Times New Roman" w:hAnsi="Times New Roman" w:eastAsia="仿宋_GB2312" w:cs="Times New Roman"/>
          <w:bCs/>
          <w:color w:val="auto"/>
          <w:sz w:val="32"/>
          <w:szCs w:val="32"/>
          <w:highlight w:val="none"/>
        </w:rPr>
        <w:t>以重楼为代表，建设1500亩重楼标准化人工栽培基地和2000亩林下野生抚育基地，凭借濒危中药材显著的增收能力，迅速形成示范效应。</w:t>
      </w:r>
    </w:p>
    <w:p>
      <w:pPr>
        <w:snapToGrid w:val="0"/>
        <w:spacing w:line="560" w:lineRule="exact"/>
        <w:ind w:firstLine="642" w:firstLineChars="200"/>
        <w:rPr>
          <w:rFonts w:ascii="Times New Roman" w:hAnsi="Times New Roman" w:eastAsia="仿宋_GB2312" w:cs="Times New Roman"/>
          <w:bCs/>
          <w:color w:val="auto"/>
          <w:sz w:val="32"/>
          <w:szCs w:val="32"/>
          <w:highlight w:val="none"/>
        </w:rPr>
      </w:pPr>
      <w:bookmarkStart w:id="270" w:name="_Toc16803"/>
      <w:bookmarkStart w:id="271" w:name="_Toc27488"/>
      <w:bookmarkStart w:id="272" w:name="_Toc11304"/>
      <w:bookmarkStart w:id="273" w:name="_Toc29866"/>
      <w:r>
        <w:rPr>
          <w:rFonts w:ascii="Times New Roman" w:hAnsi="Times New Roman" w:eastAsia="仿宋_GB2312" w:cs="Times New Roman"/>
          <w:b/>
          <w:color w:val="auto"/>
          <w:sz w:val="32"/>
          <w:szCs w:val="32"/>
          <w:highlight w:val="none"/>
        </w:rPr>
        <w:t>提升中药材加工水平</w:t>
      </w:r>
      <w:bookmarkEnd w:id="270"/>
      <w:bookmarkEnd w:id="271"/>
      <w:bookmarkEnd w:id="272"/>
      <w:bookmarkEnd w:id="273"/>
      <w:r>
        <w:rPr>
          <w:rFonts w:ascii="Times New Roman" w:hAnsi="Times New Roman" w:eastAsia="仿宋_GB2312" w:cs="Times New Roman"/>
          <w:b/>
          <w:color w:val="auto"/>
          <w:sz w:val="32"/>
          <w:szCs w:val="32"/>
          <w:highlight w:val="none"/>
        </w:rPr>
        <w:t>。</w:t>
      </w:r>
      <w:r>
        <w:rPr>
          <w:rFonts w:hint="eastAsia" w:ascii="Times New Roman" w:hAnsi="Times New Roman" w:eastAsia="仿宋_GB2312" w:cs="Times New Roman"/>
          <w:bCs/>
          <w:color w:val="auto"/>
          <w:sz w:val="32"/>
          <w:szCs w:val="32"/>
          <w:highlight w:val="none"/>
        </w:rPr>
        <w:t>深化与川农产学研合作，加强现代生物科技研发应用，积极引进</w:t>
      </w:r>
      <w:r>
        <w:rPr>
          <w:rFonts w:ascii="Times New Roman" w:hAnsi="Times New Roman" w:eastAsia="仿宋_GB2312" w:cs="Times New Roman"/>
          <w:bCs/>
          <w:color w:val="auto"/>
          <w:sz w:val="32"/>
          <w:szCs w:val="32"/>
          <w:highlight w:val="none"/>
        </w:rPr>
        <w:t>培育中药材龙头企业，</w:t>
      </w:r>
      <w:r>
        <w:rPr>
          <w:rFonts w:hint="eastAsia" w:ascii="Times New Roman" w:hAnsi="Times New Roman" w:eastAsia="仿宋_GB2312" w:cs="Times New Roman"/>
          <w:bCs/>
          <w:color w:val="auto"/>
          <w:sz w:val="32"/>
          <w:szCs w:val="32"/>
          <w:highlight w:val="none"/>
        </w:rPr>
        <w:t>打造以中药饮片、中成药、保健品、生物提取物为核心的中药材深加工综合性</w:t>
      </w:r>
      <w:r>
        <w:rPr>
          <w:rFonts w:ascii="Times New Roman" w:hAnsi="Times New Roman" w:eastAsia="仿宋_GB2312" w:cs="Times New Roman"/>
          <w:bCs/>
          <w:color w:val="auto"/>
          <w:sz w:val="32"/>
          <w:szCs w:val="32"/>
          <w:highlight w:val="none"/>
        </w:rPr>
        <w:t>园区。在荥河镇、花滩镇、新添镇建设中药材产地初加工服务点3个，配套小型清洗机、筛分机、切片机、烘干机等实用加工设备</w:t>
      </w:r>
      <w:r>
        <w:rPr>
          <w:rFonts w:hint="eastAsia" w:ascii="Times New Roman" w:hAnsi="Times New Roman" w:eastAsia="仿宋_GB2312" w:cs="Times New Roman"/>
          <w:bCs/>
          <w:color w:val="auto"/>
          <w:sz w:val="32"/>
          <w:szCs w:val="32"/>
          <w:highlight w:val="none"/>
        </w:rPr>
        <w:t>和</w:t>
      </w:r>
      <w:r>
        <w:rPr>
          <w:rFonts w:ascii="Times New Roman" w:hAnsi="Times New Roman" w:eastAsia="仿宋_GB2312" w:cs="Times New Roman"/>
          <w:bCs/>
          <w:color w:val="auto"/>
          <w:sz w:val="32"/>
          <w:szCs w:val="32"/>
          <w:highlight w:val="none"/>
        </w:rPr>
        <w:t>中药材中转仓库，促进中药材的快速流通。</w:t>
      </w:r>
    </w:p>
    <w:p>
      <w:pPr>
        <w:snapToGrid w:val="0"/>
        <w:spacing w:line="560" w:lineRule="exact"/>
        <w:ind w:firstLine="642" w:firstLineChars="200"/>
        <w:rPr>
          <w:rFonts w:ascii="Times New Roman" w:hAnsi="Times New Roman" w:eastAsia="仿宋_GB2312" w:cs="Times New Roman"/>
          <w:bCs/>
          <w:color w:val="auto"/>
          <w:sz w:val="32"/>
          <w:szCs w:val="32"/>
          <w:highlight w:val="none"/>
        </w:rPr>
      </w:pPr>
      <w:bookmarkStart w:id="274" w:name="_Toc31019"/>
      <w:bookmarkStart w:id="275" w:name="_Toc26284"/>
      <w:bookmarkStart w:id="276" w:name="_Toc28033"/>
      <w:bookmarkStart w:id="277" w:name="_Toc7485"/>
      <w:r>
        <w:rPr>
          <w:rFonts w:ascii="Times New Roman" w:hAnsi="Times New Roman" w:eastAsia="仿宋_GB2312" w:cs="Times New Roman"/>
          <w:b/>
          <w:color w:val="auto"/>
          <w:sz w:val="32"/>
          <w:szCs w:val="32"/>
          <w:highlight w:val="none"/>
        </w:rPr>
        <w:t>促进中药材产业融合发展</w:t>
      </w:r>
      <w:bookmarkEnd w:id="274"/>
      <w:bookmarkEnd w:id="275"/>
      <w:bookmarkEnd w:id="276"/>
      <w:bookmarkEnd w:id="277"/>
      <w:r>
        <w:rPr>
          <w:rFonts w:ascii="Times New Roman" w:hAnsi="Times New Roman" w:eastAsia="仿宋_GB2312" w:cs="Times New Roman"/>
          <w:b/>
          <w:color w:val="auto"/>
          <w:sz w:val="32"/>
          <w:szCs w:val="32"/>
          <w:highlight w:val="none"/>
        </w:rPr>
        <w:t>。一是创建中药材文化展示窗口。</w:t>
      </w:r>
      <w:r>
        <w:rPr>
          <w:rFonts w:hint="eastAsia" w:ascii="Times New Roman" w:hAnsi="Times New Roman" w:eastAsia="仿宋_GB2312" w:cs="Times New Roman"/>
          <w:bCs/>
          <w:color w:val="auto"/>
          <w:sz w:val="32"/>
          <w:szCs w:val="32"/>
          <w:highlight w:val="none"/>
        </w:rPr>
        <w:t>在</w:t>
      </w:r>
      <w:r>
        <w:rPr>
          <w:rFonts w:ascii="Times New Roman" w:hAnsi="Times New Roman" w:eastAsia="仿宋_GB2312" w:cs="Times New Roman"/>
          <w:bCs/>
          <w:color w:val="auto"/>
          <w:sz w:val="32"/>
          <w:szCs w:val="32"/>
          <w:highlight w:val="none"/>
        </w:rPr>
        <w:t>兰家山农业生态旅游观光区内打造以荥经天麻为代表的中药材展示、体验区，将天麻等荥经道地中药材的药用价值、史书记载、栽培方式、生产加工现状展示给游客，配合天麻等中药材加工制品销售、3D沙盘模型、主题餐厅及康养娱乐设施建设，</w:t>
      </w:r>
      <w:r>
        <w:rPr>
          <w:rFonts w:hint="eastAsia" w:ascii="Times New Roman" w:hAnsi="Times New Roman" w:eastAsia="仿宋_GB2312" w:cs="Times New Roman"/>
          <w:bCs/>
          <w:color w:val="auto"/>
          <w:sz w:val="32"/>
          <w:szCs w:val="32"/>
          <w:highlight w:val="none"/>
        </w:rPr>
        <w:t>打造</w:t>
      </w:r>
      <w:r>
        <w:rPr>
          <w:rFonts w:ascii="Times New Roman" w:hAnsi="Times New Roman" w:eastAsia="仿宋_GB2312" w:cs="Times New Roman"/>
          <w:bCs/>
          <w:color w:val="auto"/>
          <w:sz w:val="32"/>
          <w:szCs w:val="32"/>
          <w:highlight w:val="none"/>
        </w:rPr>
        <w:t>以荥经天麻为代表的中药材文化对外展示窗口。</w:t>
      </w:r>
      <w:r>
        <w:rPr>
          <w:rFonts w:ascii="Times New Roman" w:hAnsi="Times New Roman" w:eastAsia="仿宋_GB2312" w:cs="Times New Roman"/>
          <w:b/>
          <w:color w:val="auto"/>
          <w:sz w:val="32"/>
          <w:szCs w:val="32"/>
          <w:highlight w:val="none"/>
        </w:rPr>
        <w:t>二是建设官家山中药材休闲农业示范点。</w:t>
      </w:r>
      <w:r>
        <w:rPr>
          <w:rFonts w:ascii="Times New Roman" w:hAnsi="Times New Roman" w:eastAsia="仿宋_GB2312" w:cs="Times New Roman"/>
          <w:bCs/>
          <w:color w:val="auto"/>
          <w:sz w:val="32"/>
          <w:szCs w:val="32"/>
          <w:highlight w:val="none"/>
        </w:rPr>
        <w:t>将官家山农业综合示范园列入全县精品旅游村寨建设计划，将现代农业生产与乡村旅游产业相融合，打造以优质生态环境为依托、以天麻、白及、黄精等特色中药材资源为基础，以有机果蔬产品为辅助，以品质乡村旅游为引导的现代农业产业园，力争创建全国休闲农业示范点。</w:t>
      </w:r>
    </w:p>
    <w:p>
      <w:pPr>
        <w:pStyle w:val="22"/>
        <w:snapToGrid w:val="0"/>
        <w:spacing w:before="156" w:beforeLines="50" w:after="156" w:afterLines="50" w:line="580" w:lineRule="exact"/>
        <w:ind w:firstLine="0" w:firstLineChars="0"/>
        <w:jc w:val="center"/>
        <w:rPr>
          <w:rFonts w:ascii="Times New Roman" w:hAnsi="Times New Roman" w:eastAsia="黑体" w:cs="Times New Roman"/>
          <w:b/>
          <w:bCs/>
          <w:color w:val="auto"/>
          <w:sz w:val="28"/>
          <w:szCs w:val="28"/>
          <w:highlight w:val="none"/>
          <w:shd w:val="clear" w:color="auto" w:fill="FFFFFF"/>
        </w:rPr>
      </w:pPr>
      <w:r>
        <w:rPr>
          <w:rFonts w:hint="eastAsia" w:ascii="Times New Roman" w:hAnsi="Times New Roman" w:eastAsia="黑体"/>
          <w:b/>
          <w:bCs/>
          <w:color w:val="auto"/>
          <w:kern w:val="0"/>
          <w:sz w:val="28"/>
          <w:szCs w:val="28"/>
          <w:highlight w:val="none"/>
          <w:shd w:val="clear" w:color="auto" w:fill="FFFFFF"/>
          <w:lang w:val="sq-AL"/>
        </w:rPr>
        <w:t>专栏</w:t>
      </w:r>
      <w:r>
        <w:rPr>
          <w:rFonts w:ascii="Times New Roman" w:hAnsi="Times New Roman" w:eastAsia="黑体"/>
          <w:b/>
          <w:bCs/>
          <w:color w:val="auto"/>
          <w:kern w:val="0"/>
          <w:sz w:val="28"/>
          <w:szCs w:val="28"/>
          <w:highlight w:val="none"/>
          <w:shd w:val="clear" w:color="auto" w:fill="FFFFFF"/>
        </w:rPr>
        <w:t xml:space="preserve">6  </w:t>
      </w:r>
      <w:r>
        <w:rPr>
          <w:rFonts w:hint="eastAsia" w:ascii="Times New Roman" w:hAnsi="Times New Roman" w:eastAsia="黑体"/>
          <w:b/>
          <w:bCs/>
          <w:color w:val="auto"/>
          <w:kern w:val="0"/>
          <w:sz w:val="28"/>
          <w:szCs w:val="28"/>
          <w:highlight w:val="none"/>
          <w:shd w:val="clear" w:color="auto" w:fill="FFFFFF"/>
          <w:lang w:val="sq-AL"/>
        </w:rPr>
        <w:t>中药材产业融合发展建设工程</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lang w:val="sq-AL"/>
              </w:rPr>
            </w:pPr>
            <w:r>
              <w:rPr>
                <w:rFonts w:ascii="Times New Roman" w:hAnsi="Times New Roman" w:eastAsia="楷体_GB2312" w:cs="Times New Roman"/>
                <w:b/>
                <w:bCs/>
                <w:color w:val="auto"/>
                <w:sz w:val="28"/>
                <w:szCs w:val="28"/>
                <w:highlight w:val="none"/>
                <w:shd w:val="clear" w:color="auto" w:fill="FFFFFF"/>
              </w:rPr>
              <w:t xml:space="preserve">01 </w:t>
            </w:r>
            <w:r>
              <w:rPr>
                <w:rFonts w:ascii="Times New Roman" w:hAnsi="Times New Roman" w:eastAsia="楷体_GB2312" w:cs="Times New Roman"/>
                <w:b/>
                <w:bCs/>
                <w:color w:val="auto"/>
                <w:sz w:val="28"/>
                <w:szCs w:val="28"/>
                <w:highlight w:val="none"/>
                <w:shd w:val="clear" w:color="auto" w:fill="FFFFFF"/>
                <w:lang w:val="sq-AL"/>
              </w:rPr>
              <w:t>大宗中药材种植基地</w:t>
            </w:r>
          </w:p>
          <w:p>
            <w:pPr>
              <w:pStyle w:val="22"/>
              <w:snapToGrid w:val="0"/>
              <w:spacing w:line="500" w:lineRule="exact"/>
              <w:ind w:left="307" w:leftChars="146" w:firstLine="0" w:firstLineChars="0"/>
              <w:rPr>
                <w:rFonts w:ascii="Times New Roman" w:hAnsi="Times New Roman"/>
                <w:color w:val="auto"/>
                <w:sz w:val="28"/>
                <w:szCs w:val="28"/>
                <w:highlight w:val="none"/>
                <w:lang w:val="sq-AL"/>
              </w:rPr>
            </w:pPr>
            <w:r>
              <w:rPr>
                <w:rFonts w:ascii="Times New Roman" w:hAnsi="Times New Roman"/>
                <w:color w:val="auto"/>
                <w:sz w:val="28"/>
                <w:szCs w:val="28"/>
                <w:highlight w:val="none"/>
                <w:lang w:val="sq-AL"/>
              </w:rPr>
              <w:t>以川道地药材重点县建设为契机，大力推广中药材种植，建设川黄柏、天麻、重楼等标准化栽培基地。到2025年天麻种植基地3000亩</w:t>
            </w:r>
            <w:r>
              <w:rPr>
                <w:rFonts w:hint="eastAsia" w:ascii="Times New Roman" w:hAnsi="Times New Roman"/>
                <w:color w:val="auto"/>
                <w:sz w:val="28"/>
                <w:szCs w:val="28"/>
                <w:highlight w:val="none"/>
                <w:lang w:val="sq-AL"/>
              </w:rPr>
              <w:t>、</w:t>
            </w:r>
            <w:r>
              <w:rPr>
                <w:rFonts w:ascii="Times New Roman" w:hAnsi="Times New Roman"/>
                <w:color w:val="auto"/>
                <w:sz w:val="28"/>
                <w:szCs w:val="28"/>
                <w:highlight w:val="none"/>
                <w:lang w:val="sq-AL"/>
              </w:rPr>
              <w:t>种苗繁育基地100亩</w:t>
            </w:r>
            <w:r>
              <w:rPr>
                <w:rFonts w:hint="eastAsia" w:ascii="Times New Roman" w:hAnsi="Times New Roman"/>
                <w:color w:val="auto"/>
                <w:sz w:val="28"/>
                <w:szCs w:val="28"/>
                <w:highlight w:val="none"/>
                <w:lang w:val="sq-AL"/>
              </w:rPr>
              <w:t>、</w:t>
            </w:r>
            <w:r>
              <w:rPr>
                <w:rFonts w:ascii="Times New Roman" w:hAnsi="Times New Roman"/>
                <w:color w:val="auto"/>
                <w:sz w:val="28"/>
                <w:szCs w:val="28"/>
                <w:highlight w:val="none"/>
                <w:lang w:val="sq-AL"/>
              </w:rPr>
              <w:t>川黄柏23万亩。</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lang w:val="sq-AL"/>
              </w:rPr>
            </w:pPr>
            <w:r>
              <w:rPr>
                <w:rFonts w:ascii="Times New Roman" w:hAnsi="Times New Roman" w:eastAsia="楷体_GB2312" w:cs="Times New Roman"/>
                <w:b/>
                <w:bCs/>
                <w:color w:val="auto"/>
                <w:sz w:val="28"/>
                <w:szCs w:val="28"/>
                <w:highlight w:val="none"/>
                <w:shd w:val="clear" w:color="auto" w:fill="FFFFFF"/>
              </w:rPr>
              <w:t xml:space="preserve">02 </w:t>
            </w:r>
            <w:r>
              <w:rPr>
                <w:rFonts w:ascii="Times New Roman" w:hAnsi="Times New Roman" w:eastAsia="楷体_GB2312" w:cs="Times New Roman"/>
                <w:b/>
                <w:bCs/>
                <w:color w:val="auto"/>
                <w:sz w:val="28"/>
                <w:szCs w:val="28"/>
                <w:highlight w:val="none"/>
                <w:shd w:val="clear" w:color="auto" w:fill="FFFFFF"/>
                <w:lang w:val="sq-AL"/>
              </w:rPr>
              <w:t>濒危中药材生产基地</w:t>
            </w:r>
          </w:p>
          <w:p>
            <w:pPr>
              <w:pStyle w:val="22"/>
              <w:snapToGrid w:val="0"/>
              <w:spacing w:line="500" w:lineRule="exact"/>
              <w:ind w:left="307" w:leftChars="146" w:firstLine="0" w:firstLineChars="0"/>
              <w:rPr>
                <w:rFonts w:ascii="Times New Roman" w:hAnsi="Times New Roman"/>
                <w:color w:val="auto"/>
                <w:sz w:val="28"/>
                <w:szCs w:val="28"/>
                <w:highlight w:val="none"/>
                <w:lang w:val="sq-AL"/>
              </w:rPr>
            </w:pPr>
            <w:r>
              <w:rPr>
                <w:rFonts w:ascii="Times New Roman" w:hAnsi="Times New Roman"/>
                <w:color w:val="auto"/>
                <w:sz w:val="28"/>
                <w:szCs w:val="28"/>
                <w:highlight w:val="none"/>
                <w:lang w:val="sq-AL"/>
              </w:rPr>
              <w:t>建设1500亩重楼标准化人工栽培基地和2000亩林下野生抚育基地，配套灌溉、管理用房等基础设施。</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lang w:val="sq-AL"/>
              </w:rPr>
            </w:pPr>
            <w:r>
              <w:rPr>
                <w:rFonts w:ascii="Times New Roman" w:hAnsi="Times New Roman" w:eastAsia="楷体_GB2312" w:cs="Times New Roman"/>
                <w:b/>
                <w:bCs/>
                <w:color w:val="auto"/>
                <w:sz w:val="28"/>
                <w:szCs w:val="28"/>
                <w:highlight w:val="none"/>
                <w:shd w:val="clear" w:color="auto" w:fill="FFFFFF"/>
              </w:rPr>
              <w:t xml:space="preserve">03 </w:t>
            </w:r>
            <w:r>
              <w:rPr>
                <w:rFonts w:ascii="Times New Roman" w:hAnsi="Times New Roman" w:eastAsia="楷体_GB2312" w:cs="Times New Roman"/>
                <w:b/>
                <w:bCs/>
                <w:color w:val="auto"/>
                <w:sz w:val="28"/>
                <w:szCs w:val="28"/>
                <w:highlight w:val="none"/>
                <w:shd w:val="clear" w:color="auto" w:fill="FFFFFF"/>
                <w:lang w:val="sq-AL"/>
              </w:rPr>
              <w:t>中药材初加工及物流园区</w:t>
            </w:r>
          </w:p>
          <w:p>
            <w:pPr>
              <w:pStyle w:val="22"/>
              <w:snapToGrid w:val="0"/>
              <w:spacing w:line="500" w:lineRule="exact"/>
              <w:ind w:left="307" w:leftChars="146" w:firstLine="0" w:firstLineChars="0"/>
              <w:rPr>
                <w:rFonts w:ascii="Times New Roman" w:hAnsi="Times New Roman"/>
                <w:color w:val="auto"/>
                <w:sz w:val="28"/>
                <w:szCs w:val="28"/>
                <w:highlight w:val="none"/>
                <w:lang w:val="sq-AL"/>
              </w:rPr>
            </w:pPr>
            <w:r>
              <w:rPr>
                <w:rFonts w:ascii="Times New Roman" w:hAnsi="Times New Roman"/>
                <w:color w:val="auto"/>
                <w:sz w:val="28"/>
                <w:szCs w:val="28"/>
                <w:highlight w:val="none"/>
                <w:lang w:val="sq-AL"/>
              </w:rPr>
              <w:t>建设3个中药材产地初加工服务点，设立中药材精深加工区及物流区，建设中药材加工生产线，配套相关设施设备。</w:t>
            </w:r>
          </w:p>
        </w:tc>
      </w:tr>
    </w:tbl>
    <w:p>
      <w:pPr>
        <w:pStyle w:val="13"/>
        <w:ind w:left="0" w:leftChars="0" w:firstLine="0" w:firstLineChars="0"/>
        <w:rPr>
          <w:rFonts w:hint="default" w:ascii="Times New Roman" w:hAnsi="Times New Roman" w:cs="Times New Roman"/>
          <w:color w:val="auto"/>
          <w:highlight w:val="none"/>
        </w:rPr>
      </w:pPr>
    </w:p>
    <w:p>
      <w:pPr>
        <w:pStyle w:val="4"/>
        <w:keepLines w:val="0"/>
        <w:numPr>
          <w:ilvl w:val="1"/>
          <w:numId w:val="3"/>
        </w:numPr>
        <w:spacing w:before="312" w:beforeLines="100" w:after="312" w:afterLines="100" w:line="620" w:lineRule="exact"/>
        <w:jc w:val="center"/>
        <w:rPr>
          <w:rFonts w:ascii="Times New Roman" w:hAnsi="Times New Roman" w:cs="Times New Roman"/>
          <w:b/>
          <w:bCs/>
          <w:color w:val="auto"/>
          <w:highlight w:val="none"/>
        </w:rPr>
      </w:pPr>
      <w:bookmarkStart w:id="278" w:name="_Toc15103"/>
      <w:bookmarkStart w:id="279" w:name="_Toc75731150"/>
      <w:bookmarkStart w:id="280" w:name="_Toc10509"/>
      <w:bookmarkStart w:id="281" w:name="_Toc19989"/>
      <w:r>
        <w:rPr>
          <w:rFonts w:ascii="Times New Roman" w:hAnsi="Times New Roman" w:cs="Times New Roman"/>
          <w:b/>
          <w:bCs/>
          <w:color w:val="auto"/>
          <w:highlight w:val="none"/>
        </w:rPr>
        <w:t>加快发展黄牛产业</w:t>
      </w:r>
      <w:bookmarkEnd w:id="278"/>
      <w:bookmarkEnd w:id="279"/>
      <w:bookmarkEnd w:id="280"/>
      <w:bookmarkEnd w:id="281"/>
    </w:p>
    <w:p>
      <w:pPr>
        <w:pStyle w:val="22"/>
        <w:adjustRightInd w:val="0"/>
        <w:snapToGrid w:val="0"/>
        <w:spacing w:line="560" w:lineRule="exact"/>
        <w:ind w:firstLine="640"/>
        <w:rPr>
          <w:rFonts w:ascii="Times New Roman" w:hAnsi="Times New Roman"/>
          <w:color w:val="auto"/>
          <w:szCs w:val="32"/>
          <w:highlight w:val="none"/>
        </w:rPr>
      </w:pPr>
      <w:r>
        <w:rPr>
          <w:rFonts w:ascii="Times New Roman" w:hAnsi="Times New Roman"/>
          <w:color w:val="auto"/>
          <w:szCs w:val="32"/>
          <w:highlight w:val="none"/>
        </w:rPr>
        <w:t>加快发展黄牛等节粮型动物，以实施1000亩黄牛养殖项目为统领，大力推进标准化、规模化养殖基地建设，提升建成黄牛全产业链，到2025年，全县黄牛养殖在1.5万头，总产值达到3亿元以上。</w:t>
      </w:r>
    </w:p>
    <w:p>
      <w:pPr>
        <w:pStyle w:val="22"/>
        <w:snapToGrid w:val="0"/>
        <w:spacing w:line="560" w:lineRule="exact"/>
        <w:ind w:firstLine="643"/>
        <w:rPr>
          <w:rFonts w:ascii="Times New Roman" w:hAnsi="Times New Roman"/>
          <w:color w:val="auto"/>
          <w:szCs w:val="32"/>
          <w:highlight w:val="none"/>
        </w:rPr>
      </w:pPr>
      <w:bookmarkStart w:id="282" w:name="_Toc29356"/>
      <w:r>
        <w:rPr>
          <w:rFonts w:ascii="Times New Roman" w:hAnsi="Times New Roman"/>
          <w:b/>
          <w:bCs/>
          <w:color w:val="auto"/>
          <w:szCs w:val="32"/>
          <w:highlight w:val="none"/>
        </w:rPr>
        <w:t>标准化黄牛养殖基地建设</w:t>
      </w:r>
      <w:bookmarkEnd w:id="282"/>
      <w:r>
        <w:rPr>
          <w:rFonts w:ascii="Times New Roman" w:hAnsi="Times New Roman"/>
          <w:b/>
          <w:bCs/>
          <w:color w:val="auto"/>
          <w:szCs w:val="32"/>
          <w:highlight w:val="none"/>
        </w:rPr>
        <w:t>。一是黄牛良种繁育基地建设。</w:t>
      </w:r>
      <w:r>
        <w:rPr>
          <w:rFonts w:ascii="Times New Roman" w:hAnsi="Times New Roman"/>
          <w:color w:val="auto"/>
          <w:szCs w:val="32"/>
          <w:highlight w:val="none"/>
        </w:rPr>
        <w:t>按照政府扶持、企业运作、市场化机制的模式，</w:t>
      </w:r>
      <w:r>
        <w:rPr>
          <w:rFonts w:hint="eastAsia" w:ascii="Times New Roman" w:hAnsi="Times New Roman"/>
          <w:color w:val="auto"/>
          <w:szCs w:val="32"/>
          <w:highlight w:val="none"/>
        </w:rPr>
        <w:t>积极培育</w:t>
      </w:r>
      <w:r>
        <w:rPr>
          <w:rFonts w:ascii="Times New Roman" w:hAnsi="Times New Roman"/>
          <w:color w:val="auto"/>
          <w:szCs w:val="32"/>
          <w:highlight w:val="none"/>
        </w:rPr>
        <w:t>引进肉牛新品种，</w:t>
      </w:r>
      <w:r>
        <w:rPr>
          <w:rFonts w:hint="eastAsia" w:ascii="Times New Roman" w:hAnsi="Times New Roman"/>
          <w:color w:val="auto"/>
          <w:szCs w:val="32"/>
          <w:highlight w:val="none"/>
        </w:rPr>
        <w:t>新建</w:t>
      </w:r>
      <w:r>
        <w:rPr>
          <w:rFonts w:ascii="Times New Roman" w:hAnsi="Times New Roman"/>
          <w:color w:val="auto"/>
          <w:szCs w:val="32"/>
          <w:highlight w:val="none"/>
        </w:rPr>
        <w:t>优质肉牛繁育示范场</w:t>
      </w:r>
      <w:r>
        <w:rPr>
          <w:rFonts w:hint="eastAsia" w:ascii="Times New Roman" w:hAnsi="Times New Roman"/>
          <w:color w:val="auto"/>
          <w:szCs w:val="32"/>
          <w:highlight w:val="none"/>
        </w:rPr>
        <w:t>和</w:t>
      </w:r>
      <w:r>
        <w:rPr>
          <w:rFonts w:ascii="Times New Roman" w:hAnsi="Times New Roman"/>
          <w:color w:val="auto"/>
          <w:szCs w:val="32"/>
          <w:highlight w:val="none"/>
        </w:rPr>
        <w:t>荥经黄牛种质资源繁育研究所，提升良种供应能力和质量。</w:t>
      </w:r>
      <w:r>
        <w:rPr>
          <w:rFonts w:ascii="Times New Roman" w:hAnsi="Times New Roman"/>
          <w:b/>
          <w:bCs/>
          <w:color w:val="auto"/>
          <w:szCs w:val="32"/>
          <w:highlight w:val="none"/>
        </w:rPr>
        <w:t>二是标准化黄牛养殖基地建设。</w:t>
      </w:r>
      <w:r>
        <w:rPr>
          <w:rFonts w:hint="eastAsia" w:ascii="Times New Roman" w:hAnsi="Times New Roman"/>
          <w:b w:val="0"/>
          <w:bCs w:val="0"/>
          <w:color w:val="auto"/>
          <w:szCs w:val="32"/>
          <w:highlight w:val="none"/>
        </w:rPr>
        <w:t>以发展标准化饲养场和标准化养殖小区为主要形式，</w:t>
      </w:r>
      <w:r>
        <w:rPr>
          <w:rFonts w:hint="eastAsia" w:ascii="Times New Roman" w:hAnsi="Times New Roman"/>
          <w:color w:val="auto"/>
          <w:szCs w:val="32"/>
          <w:highlight w:val="none"/>
        </w:rPr>
        <w:t>加快</w:t>
      </w:r>
      <w:r>
        <w:rPr>
          <w:rFonts w:hint="eastAsia" w:ascii="Times New Roman" w:hAnsi="Times New Roman"/>
          <w:b w:val="0"/>
          <w:bCs w:val="0"/>
          <w:color w:val="auto"/>
          <w:szCs w:val="32"/>
          <w:highlight w:val="none"/>
        </w:rPr>
        <w:t>原有规模饲养场的升级改造、配套完善，农户中小规模畜禽饲养场以扩大饲养规模和升级改造</w:t>
      </w:r>
      <w:r>
        <w:rPr>
          <w:rFonts w:hint="eastAsia" w:ascii="Times New Roman" w:hAnsi="Times New Roman"/>
          <w:color w:val="auto"/>
          <w:szCs w:val="32"/>
          <w:highlight w:val="none"/>
        </w:rPr>
        <w:t>，</w:t>
      </w:r>
      <w:r>
        <w:rPr>
          <w:rFonts w:hint="eastAsia" w:ascii="Times New Roman" w:hAnsi="Times New Roman"/>
          <w:b w:val="0"/>
          <w:bCs w:val="0"/>
          <w:color w:val="auto"/>
          <w:szCs w:val="32"/>
          <w:highlight w:val="none"/>
        </w:rPr>
        <w:t>鼓励龙头企业、规模养殖农户新建标准化饲养场</w:t>
      </w:r>
      <w:r>
        <w:rPr>
          <w:rFonts w:hint="eastAsia" w:ascii="Times New Roman" w:hAnsi="Times New Roman"/>
          <w:color w:val="auto"/>
          <w:szCs w:val="32"/>
          <w:highlight w:val="none"/>
        </w:rPr>
        <w:t>和养殖小区</w:t>
      </w:r>
      <w:r>
        <w:rPr>
          <w:rFonts w:hint="eastAsia" w:ascii="Times New Roman" w:hAnsi="Times New Roman"/>
          <w:b w:val="0"/>
          <w:bCs w:val="0"/>
          <w:color w:val="auto"/>
          <w:szCs w:val="32"/>
          <w:highlight w:val="none"/>
        </w:rPr>
        <w:t>。</w:t>
      </w:r>
      <w:r>
        <w:rPr>
          <w:rFonts w:ascii="Times New Roman" w:hAnsi="Times New Roman"/>
          <w:b/>
          <w:bCs/>
          <w:color w:val="auto"/>
          <w:szCs w:val="32"/>
          <w:highlight w:val="none"/>
        </w:rPr>
        <w:t>三是优质饲草基地建设。</w:t>
      </w:r>
      <w:r>
        <w:rPr>
          <w:rFonts w:ascii="Times New Roman" w:hAnsi="Times New Roman"/>
          <w:color w:val="auto"/>
          <w:szCs w:val="32"/>
          <w:highlight w:val="none"/>
        </w:rPr>
        <w:t>大力实施“以草换肉”“以秸秆换肉奶”工程，发展林下饲草和优质牧草种植，引导和鼓励农民对坡地、中低产田种植牧草；支持养殖龙头企业租赁流转“四荒”资源和集体耕地，建设优质饲草生产加工和秸秆养牛基地，拓展饲料来源。推行草田轮作、复播和间作套播饲草料，提高土地利用率，实现种养良性循环。</w:t>
      </w:r>
    </w:p>
    <w:p>
      <w:pPr>
        <w:pStyle w:val="22"/>
        <w:adjustRightInd w:val="0"/>
        <w:snapToGrid w:val="0"/>
        <w:spacing w:line="560" w:lineRule="exact"/>
        <w:ind w:firstLine="643"/>
        <w:rPr>
          <w:rFonts w:ascii="Times New Roman" w:hAnsi="Times New Roman"/>
          <w:color w:val="auto"/>
          <w:szCs w:val="32"/>
          <w:highlight w:val="none"/>
        </w:rPr>
      </w:pPr>
      <w:bookmarkStart w:id="283" w:name="_Toc21858"/>
      <w:r>
        <w:rPr>
          <w:rFonts w:hint="eastAsia" w:ascii="Times New Roman" w:hAnsi="Times New Roman"/>
          <w:b/>
          <w:bCs/>
          <w:color w:val="auto"/>
          <w:szCs w:val="32"/>
          <w:highlight w:val="none"/>
        </w:rPr>
        <w:t>大力提升</w:t>
      </w:r>
      <w:r>
        <w:rPr>
          <w:rFonts w:ascii="Times New Roman" w:hAnsi="Times New Roman"/>
          <w:b/>
          <w:bCs/>
          <w:color w:val="auto"/>
          <w:szCs w:val="32"/>
          <w:highlight w:val="none"/>
        </w:rPr>
        <w:t>黄牛加工</w:t>
      </w:r>
      <w:bookmarkEnd w:id="283"/>
      <w:r>
        <w:rPr>
          <w:rFonts w:hint="eastAsia" w:ascii="Times New Roman" w:hAnsi="Times New Roman"/>
          <w:b/>
          <w:bCs/>
          <w:color w:val="auto"/>
          <w:szCs w:val="32"/>
          <w:highlight w:val="none"/>
        </w:rPr>
        <w:t>水平</w:t>
      </w:r>
      <w:r>
        <w:rPr>
          <w:rFonts w:ascii="Times New Roman" w:hAnsi="Times New Roman"/>
          <w:b/>
          <w:bCs/>
          <w:color w:val="auto"/>
          <w:szCs w:val="32"/>
          <w:highlight w:val="none"/>
        </w:rPr>
        <w:t>。</w:t>
      </w:r>
      <w:r>
        <w:rPr>
          <w:rFonts w:hint="eastAsia" w:ascii="Times New Roman" w:hAnsi="Times New Roman"/>
          <w:b w:val="0"/>
          <w:bCs w:val="0"/>
          <w:color w:val="auto"/>
          <w:szCs w:val="32"/>
          <w:highlight w:val="none"/>
        </w:rPr>
        <w:t>大力引进畜产品加工企业，</w:t>
      </w:r>
      <w:r>
        <w:rPr>
          <w:rFonts w:ascii="Times New Roman" w:hAnsi="Times New Roman"/>
          <w:color w:val="auto"/>
          <w:szCs w:val="32"/>
          <w:highlight w:val="none"/>
        </w:rPr>
        <w:t>加快屠宰生产线建设及基础设施配套，包括屠宰加工车间、精深加工车间、仓储冷链车间、配送中心、科教中心、体验养殖区等，</w:t>
      </w:r>
      <w:r>
        <w:rPr>
          <w:rFonts w:hint="eastAsia" w:ascii="Times New Roman" w:hAnsi="Times New Roman"/>
          <w:color w:val="auto"/>
          <w:szCs w:val="32"/>
          <w:highlight w:val="none"/>
        </w:rPr>
        <w:t>积极</w:t>
      </w:r>
      <w:r>
        <w:rPr>
          <w:rFonts w:ascii="Times New Roman" w:hAnsi="Times New Roman"/>
          <w:color w:val="auto"/>
          <w:szCs w:val="32"/>
          <w:highlight w:val="none"/>
        </w:rPr>
        <w:t>开展荥经黄牛地标保护登记。</w:t>
      </w:r>
    </w:p>
    <w:p>
      <w:pPr>
        <w:pStyle w:val="22"/>
        <w:snapToGrid w:val="0"/>
        <w:spacing w:before="156" w:beforeLines="50" w:after="156" w:afterLines="50" w:line="580" w:lineRule="exact"/>
        <w:ind w:firstLine="0" w:firstLineChars="0"/>
        <w:jc w:val="center"/>
        <w:rPr>
          <w:rFonts w:ascii="Times New Roman" w:hAnsi="Times New Roman" w:eastAsia="黑体"/>
          <w:b/>
          <w:bCs/>
          <w:color w:val="auto"/>
          <w:sz w:val="28"/>
          <w:szCs w:val="28"/>
          <w:highlight w:val="none"/>
          <w:shd w:val="clear" w:color="auto" w:fill="FFFFFF"/>
        </w:rPr>
      </w:pPr>
      <w:r>
        <w:rPr>
          <w:rFonts w:ascii="Times New Roman" w:hAnsi="Times New Roman" w:eastAsia="黑体"/>
          <w:b/>
          <w:bCs/>
          <w:color w:val="auto"/>
          <w:sz w:val="28"/>
          <w:szCs w:val="28"/>
          <w:highlight w:val="none"/>
          <w:shd w:val="clear" w:color="auto" w:fill="FFFFFF"/>
        </w:rPr>
        <w:t>专栏7  优质黄牛产业重点工程</w:t>
      </w:r>
    </w:p>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lang w:val="en-US"/>
              </w:rPr>
            </w:pPr>
            <w:r>
              <w:rPr>
                <w:rFonts w:ascii="Times New Roman" w:hAnsi="Times New Roman" w:eastAsia="楷体_GB2312" w:cs="Times New Roman"/>
                <w:b/>
                <w:bCs/>
                <w:color w:val="auto"/>
                <w:sz w:val="28"/>
                <w:szCs w:val="28"/>
                <w:highlight w:val="none"/>
                <w:shd w:val="clear" w:color="auto" w:fill="FFFFFF"/>
              </w:rPr>
              <w:t xml:space="preserve">01 </w:t>
            </w:r>
            <w:r>
              <w:rPr>
                <w:rFonts w:hint="eastAsia" w:ascii="Times New Roman" w:hAnsi="Times New Roman" w:eastAsia="楷体_GB2312" w:cs="Times New Roman"/>
                <w:b/>
                <w:bCs/>
                <w:color w:val="auto"/>
                <w:sz w:val="28"/>
                <w:szCs w:val="28"/>
                <w:highlight w:val="none"/>
                <w:shd w:val="clear" w:color="auto" w:fill="FFFFFF"/>
                <w:lang w:val="en-US"/>
              </w:rPr>
              <w:t>良种繁育基地</w:t>
            </w:r>
          </w:p>
          <w:p>
            <w:pPr>
              <w:pStyle w:val="22"/>
              <w:snapToGrid w:val="0"/>
              <w:spacing w:line="500" w:lineRule="exact"/>
              <w:ind w:left="307" w:leftChars="146" w:firstLine="0" w:firstLineChars="0"/>
              <w:rPr>
                <w:rFonts w:ascii="Times New Roman" w:hAnsi="Times New Roman"/>
                <w:color w:val="auto"/>
                <w:sz w:val="28"/>
                <w:szCs w:val="28"/>
                <w:highlight w:val="none"/>
                <w:lang w:val="sq-AL"/>
              </w:rPr>
            </w:pPr>
            <w:r>
              <w:rPr>
                <w:rFonts w:hint="eastAsia" w:ascii="Times New Roman" w:hAnsi="Times New Roman"/>
                <w:color w:val="auto"/>
                <w:sz w:val="28"/>
                <w:szCs w:val="28"/>
                <w:highlight w:val="none"/>
                <w:lang w:val="sq-AL"/>
              </w:rPr>
              <w:t>新建</w:t>
            </w:r>
            <w:r>
              <w:rPr>
                <w:rFonts w:hint="eastAsia" w:ascii="Times New Roman" w:hAnsi="Times New Roman" w:cs="Times New Roman"/>
                <w:color w:val="auto"/>
                <w:sz w:val="28"/>
                <w:szCs w:val="28"/>
                <w:highlight w:val="none"/>
                <w:lang w:val="sq-AL"/>
              </w:rPr>
              <w:t>荥经黄牛种质资源研究所</w:t>
            </w:r>
            <w:r>
              <w:rPr>
                <w:rFonts w:hint="eastAsia" w:ascii="Times New Roman" w:hAnsi="Times New Roman"/>
                <w:color w:val="auto"/>
                <w:sz w:val="28"/>
                <w:szCs w:val="28"/>
                <w:highlight w:val="none"/>
                <w:lang w:val="sq-AL"/>
              </w:rPr>
              <w:t>、</w:t>
            </w:r>
            <w:r>
              <w:rPr>
                <w:rFonts w:hint="eastAsia" w:ascii="Times New Roman" w:hAnsi="Times New Roman" w:cs="Times New Roman"/>
                <w:color w:val="auto"/>
                <w:sz w:val="28"/>
                <w:szCs w:val="28"/>
                <w:highlight w:val="none"/>
                <w:lang w:val="sq-AL"/>
              </w:rPr>
              <w:t>西南黄牛保育繁育基地</w:t>
            </w:r>
            <w:r>
              <w:rPr>
                <w:rFonts w:hint="eastAsia" w:ascii="Times New Roman" w:hAnsi="Times New Roman"/>
                <w:color w:val="auto"/>
                <w:sz w:val="28"/>
                <w:szCs w:val="28"/>
                <w:highlight w:val="none"/>
                <w:lang w:val="sq-AL"/>
              </w:rPr>
              <w:t>、</w:t>
            </w:r>
            <w:r>
              <w:rPr>
                <w:rFonts w:ascii="Times New Roman" w:hAnsi="Times New Roman"/>
                <w:color w:val="auto"/>
                <w:sz w:val="28"/>
                <w:szCs w:val="28"/>
                <w:highlight w:val="none"/>
                <w:lang w:val="sq-AL"/>
              </w:rPr>
              <w:t>500</w:t>
            </w:r>
            <w:r>
              <w:rPr>
                <w:rFonts w:hint="eastAsia" w:ascii="Times New Roman" w:hAnsi="Times New Roman"/>
                <w:color w:val="auto"/>
                <w:sz w:val="28"/>
                <w:szCs w:val="28"/>
                <w:highlight w:val="none"/>
                <w:lang w:val="sq-AL"/>
              </w:rPr>
              <w:t>头能繁母牛的优质肉牛繁育示范场</w:t>
            </w:r>
            <w:r>
              <w:rPr>
                <w:rFonts w:ascii="Times New Roman" w:hAnsi="Times New Roman"/>
                <w:color w:val="auto"/>
                <w:sz w:val="28"/>
                <w:szCs w:val="28"/>
                <w:highlight w:val="none"/>
                <w:lang w:val="sq-AL"/>
              </w:rPr>
              <w:t>1</w:t>
            </w:r>
            <w:r>
              <w:rPr>
                <w:rFonts w:hint="eastAsia" w:ascii="Times New Roman" w:hAnsi="Times New Roman"/>
                <w:color w:val="auto"/>
                <w:sz w:val="28"/>
                <w:szCs w:val="28"/>
                <w:highlight w:val="none"/>
                <w:lang w:val="sq-AL"/>
              </w:rPr>
              <w:t>个</w:t>
            </w:r>
            <w:r>
              <w:rPr>
                <w:rFonts w:hint="eastAsia" w:ascii="Times New Roman" w:hAnsi="Times New Roman" w:cs="Times New Roman"/>
                <w:color w:val="auto"/>
                <w:sz w:val="28"/>
                <w:szCs w:val="28"/>
                <w:highlight w:val="none"/>
                <w:lang w:val="sq-AL"/>
              </w:rPr>
              <w:t>和西南地区畜禽有机饲料</w:t>
            </w:r>
            <w:r>
              <w:rPr>
                <w:rFonts w:hint="eastAsia" w:ascii="Times New Roman" w:hAnsi="Times New Roman"/>
                <w:color w:val="auto"/>
                <w:sz w:val="28"/>
                <w:szCs w:val="28"/>
                <w:highlight w:val="none"/>
                <w:lang w:val="sq-AL"/>
              </w:rPr>
              <w:t>。</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 xml:space="preserve">02 </w:t>
            </w:r>
            <w:r>
              <w:rPr>
                <w:rFonts w:hint="eastAsia" w:ascii="Times New Roman" w:hAnsi="Times New Roman" w:eastAsia="楷体_GB2312" w:cs="Times New Roman"/>
                <w:b/>
                <w:bCs/>
                <w:color w:val="auto"/>
                <w:sz w:val="28"/>
                <w:szCs w:val="28"/>
                <w:highlight w:val="none"/>
                <w:shd w:val="clear" w:color="auto" w:fill="FFFFFF"/>
                <w:lang w:val="en-US"/>
              </w:rPr>
              <w:t>荥经黄牛全产业链</w:t>
            </w:r>
            <w:r>
              <w:rPr>
                <w:rFonts w:ascii="Times New Roman" w:hAnsi="Times New Roman" w:eastAsia="楷体_GB2312" w:cs="Times New Roman"/>
                <w:b/>
                <w:bCs/>
                <w:color w:val="auto"/>
                <w:sz w:val="28"/>
                <w:szCs w:val="28"/>
                <w:highlight w:val="none"/>
                <w:shd w:val="clear" w:color="auto" w:fill="FFFFFF"/>
              </w:rPr>
              <w:t>建设</w:t>
            </w:r>
          </w:p>
          <w:p>
            <w:pPr>
              <w:pStyle w:val="22"/>
              <w:snapToGrid w:val="0"/>
              <w:spacing w:line="500" w:lineRule="exact"/>
              <w:ind w:left="307" w:leftChars="146" w:firstLine="0" w:firstLineChars="0"/>
              <w:rPr>
                <w:rFonts w:ascii="Times New Roman" w:hAnsi="Times New Roman"/>
                <w:color w:val="auto"/>
                <w:sz w:val="28"/>
                <w:szCs w:val="28"/>
                <w:highlight w:val="none"/>
                <w:lang w:val="sq-AL"/>
              </w:rPr>
            </w:pPr>
            <w:r>
              <w:rPr>
                <w:rFonts w:ascii="Times New Roman" w:hAnsi="Times New Roman"/>
                <w:color w:val="auto"/>
                <w:sz w:val="28"/>
                <w:szCs w:val="28"/>
                <w:highlight w:val="none"/>
                <w:lang w:val="sq-AL"/>
              </w:rPr>
              <w:t>建设标准化养牛场1000亩，养殖黄牛5000头以上，采用沼气利用、蚯蚓养殖为主要的粪污处理利用模式</w:t>
            </w:r>
            <w:r>
              <w:rPr>
                <w:rFonts w:hint="eastAsia" w:ascii="Times New Roman" w:hAnsi="Times New Roman"/>
                <w:color w:val="auto"/>
                <w:sz w:val="28"/>
                <w:szCs w:val="28"/>
                <w:highlight w:val="none"/>
                <w:lang w:val="sq-AL"/>
              </w:rPr>
              <w:t>。</w:t>
            </w:r>
            <w:r>
              <w:rPr>
                <w:rFonts w:ascii="Times New Roman" w:hAnsi="Times New Roman"/>
                <w:color w:val="auto"/>
                <w:sz w:val="28"/>
                <w:szCs w:val="28"/>
                <w:highlight w:val="none"/>
                <w:lang w:val="sq-AL"/>
              </w:rPr>
              <w:t>新建生态养牛场圈舍5000平方米，新建年屠宰5000头肉牛生产线2条，10000头肉牛加工生产线1条，包括屠宰加工车间、精深加工车间、仓储冷链车间等。</w:t>
            </w:r>
          </w:p>
        </w:tc>
      </w:tr>
    </w:tbl>
    <w:p>
      <w:pPr>
        <w:pStyle w:val="4"/>
        <w:keepLines w:val="0"/>
        <w:numPr>
          <w:ilvl w:val="1"/>
          <w:numId w:val="3"/>
        </w:numPr>
        <w:spacing w:before="312" w:beforeLines="100" w:after="312" w:afterLines="100" w:line="620" w:lineRule="exact"/>
        <w:jc w:val="center"/>
        <w:rPr>
          <w:rFonts w:ascii="Times New Roman" w:hAnsi="Times New Roman" w:cs="Times New Roman"/>
          <w:b/>
          <w:bCs/>
          <w:color w:val="auto"/>
          <w:highlight w:val="none"/>
        </w:rPr>
      </w:pPr>
      <w:bookmarkStart w:id="284" w:name="_Toc19976"/>
      <w:bookmarkStart w:id="285" w:name="_Toc75731151"/>
      <w:bookmarkStart w:id="286" w:name="_Toc12070"/>
      <w:bookmarkStart w:id="287" w:name="_Toc4483"/>
      <w:r>
        <w:rPr>
          <w:rFonts w:ascii="Times New Roman" w:hAnsi="Times New Roman" w:cs="Times New Roman"/>
          <w:b/>
          <w:bCs/>
          <w:color w:val="auto"/>
          <w:highlight w:val="none"/>
        </w:rPr>
        <w:t>因地制宜发展水产业</w:t>
      </w:r>
      <w:bookmarkEnd w:id="284"/>
      <w:bookmarkEnd w:id="285"/>
      <w:bookmarkEnd w:id="286"/>
      <w:bookmarkEnd w:id="287"/>
    </w:p>
    <w:p>
      <w:pPr>
        <w:snapToGrid w:val="0"/>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利用“雅鱼”作为雅安最具有代表性的冷水鱼品牌所积累的优势和经验，带动荥经县鲑鳟鱼等其他冷水鱼品牌的打造，推行水产标准化生态养殖和区域特色水产养殖，积极发展现代休闲渔业，完善苗种繁育、科技服务和疫病监测体系</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以渔业产业结构调整促进荥经水产养殖业整体转型升级。到2025年，荥经县养殖水产面积1000亩，渔业总产值达到2亿元。</w:t>
      </w:r>
    </w:p>
    <w:p>
      <w:pPr>
        <w:snapToGrid w:val="0"/>
        <w:spacing w:line="560" w:lineRule="exact"/>
        <w:ind w:firstLine="642" w:firstLineChars="200"/>
        <w:rPr>
          <w:rFonts w:ascii="Times New Roman" w:hAnsi="Times New Roman" w:eastAsia="仿宋_GB2312" w:cs="Times New Roman"/>
          <w:b/>
          <w:bCs/>
          <w:color w:val="auto"/>
          <w:sz w:val="32"/>
          <w:szCs w:val="32"/>
          <w:highlight w:val="none"/>
        </w:rPr>
      </w:pPr>
      <w:bookmarkStart w:id="288" w:name="_Toc4978"/>
      <w:bookmarkStart w:id="289" w:name="_Toc30684"/>
      <w:bookmarkStart w:id="290" w:name="_Toc7471"/>
      <w:bookmarkStart w:id="291" w:name="_Toc28486"/>
      <w:r>
        <w:rPr>
          <w:rFonts w:hint="eastAsia" w:ascii="Times New Roman" w:hAnsi="Times New Roman" w:eastAsia="仿宋_GB2312" w:cs="Times New Roman"/>
          <w:b/>
          <w:bCs/>
          <w:color w:val="auto"/>
          <w:sz w:val="32"/>
          <w:szCs w:val="32"/>
          <w:highlight w:val="none"/>
        </w:rPr>
        <w:t>标准化</w:t>
      </w:r>
      <w:r>
        <w:rPr>
          <w:rFonts w:ascii="Times New Roman" w:hAnsi="Times New Roman" w:eastAsia="仿宋_GB2312" w:cs="Times New Roman"/>
          <w:b/>
          <w:bCs/>
          <w:color w:val="auto"/>
          <w:sz w:val="32"/>
          <w:szCs w:val="32"/>
          <w:highlight w:val="none"/>
        </w:rPr>
        <w:t>养殖基地建设</w:t>
      </w:r>
      <w:bookmarkEnd w:id="288"/>
      <w:bookmarkEnd w:id="289"/>
      <w:bookmarkEnd w:id="290"/>
      <w:bookmarkEnd w:id="291"/>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在龙苍沟镇、五宪镇、安靖乡等乡镇建设鲑鳟鱼、裂腹鱼（雅鱼）等冷水性和亚冷水性鱼类特色水产养殖基地</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以保障水产产业健康持续发展为目的，以鱼苗鱼种繁育为重点，在荥河镇建设水产良种繁育基地100亩，为荥经县及周边区域水产养殖提供良种良苗。</w:t>
      </w:r>
    </w:p>
    <w:p>
      <w:pPr>
        <w:adjustRightInd w:val="0"/>
        <w:snapToGrid w:val="0"/>
        <w:spacing w:line="560" w:lineRule="exact"/>
        <w:ind w:firstLine="642" w:firstLineChars="200"/>
        <w:rPr>
          <w:rFonts w:ascii="Times New Roman" w:hAnsi="Times New Roman" w:eastAsia="仿宋_GB2312" w:cs="Times New Roman"/>
          <w:color w:val="auto"/>
          <w:sz w:val="32"/>
          <w:szCs w:val="32"/>
          <w:highlight w:val="none"/>
        </w:rPr>
      </w:pPr>
      <w:bookmarkStart w:id="292" w:name="_Toc3423"/>
      <w:bookmarkStart w:id="293" w:name="_Toc8304"/>
      <w:bookmarkStart w:id="294" w:name="_Toc8888"/>
      <w:bookmarkStart w:id="295" w:name="_Toc32613"/>
      <w:r>
        <w:rPr>
          <w:rFonts w:hint="eastAsia" w:ascii="Times New Roman" w:hAnsi="Times New Roman" w:eastAsia="仿宋_GB2312" w:cs="Times New Roman"/>
          <w:b/>
          <w:bCs/>
          <w:color w:val="auto"/>
          <w:sz w:val="32"/>
          <w:szCs w:val="32"/>
          <w:highlight w:val="none"/>
        </w:rPr>
        <w:t>加快</w:t>
      </w:r>
      <w:r>
        <w:rPr>
          <w:rFonts w:ascii="Times New Roman" w:hAnsi="Times New Roman" w:eastAsia="仿宋_GB2312" w:cs="Times New Roman"/>
          <w:b/>
          <w:bCs/>
          <w:color w:val="auto"/>
          <w:sz w:val="32"/>
          <w:szCs w:val="32"/>
          <w:highlight w:val="none"/>
        </w:rPr>
        <w:t>休闲渔庄建设</w:t>
      </w:r>
      <w:bookmarkEnd w:id="292"/>
      <w:bookmarkEnd w:id="293"/>
      <w:bookmarkEnd w:id="294"/>
      <w:bookmarkEnd w:id="295"/>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深挖以“雅鱼”为代表的雅安老字号水产名菜的潜在价值，积极探索以鲑鳟、鲟类为代表的冷水鱼新菜品，打造“荥经冷水鱼”餐饮招牌。以荥经县旅游路线周边水域为依托，融入餐饮、垂钓、娱乐等多种功能，联合钓鱼协会、钓鱼俱乐部等举办专业的垂钓赛事，开设摸鱼节等娱乐活动</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规划在荥河镇新建雅鱼养殖鱼塘2000平方米，在严道街道、龙苍沟镇等乡镇（街道）建设休闲娱乐基地。积极支持有条件的企业申报全国休闲渔业示范基地。</w:t>
      </w:r>
    </w:p>
    <w:p>
      <w:pPr>
        <w:pStyle w:val="22"/>
        <w:snapToGrid w:val="0"/>
        <w:spacing w:before="156" w:beforeLines="50" w:after="156" w:afterLines="50" w:line="580" w:lineRule="exact"/>
        <w:ind w:firstLine="0" w:firstLineChars="0"/>
        <w:jc w:val="center"/>
        <w:rPr>
          <w:rFonts w:ascii="Times New Roman" w:hAnsi="Times New Roman" w:eastAsia="黑体" w:cs="Times New Roman"/>
          <w:b/>
          <w:bCs/>
          <w:color w:val="auto"/>
          <w:sz w:val="28"/>
          <w:szCs w:val="28"/>
          <w:highlight w:val="none"/>
          <w:shd w:val="clear" w:color="auto" w:fill="FFFFFF"/>
        </w:rPr>
      </w:pPr>
      <w:bookmarkStart w:id="296" w:name="_Toc28716"/>
      <w:r>
        <w:rPr>
          <w:rFonts w:hint="eastAsia" w:ascii="Times New Roman" w:hAnsi="Times New Roman" w:eastAsia="黑体"/>
          <w:b/>
          <w:bCs/>
          <w:color w:val="auto"/>
          <w:sz w:val="28"/>
          <w:szCs w:val="28"/>
          <w:highlight w:val="none"/>
          <w:shd w:val="clear" w:color="auto" w:fill="FFFFFF"/>
        </w:rPr>
        <w:t>专栏</w:t>
      </w:r>
      <w:r>
        <w:rPr>
          <w:rFonts w:ascii="Times New Roman" w:hAnsi="Times New Roman" w:eastAsia="黑体"/>
          <w:b/>
          <w:bCs/>
          <w:color w:val="auto"/>
          <w:sz w:val="28"/>
          <w:szCs w:val="28"/>
          <w:highlight w:val="none"/>
          <w:shd w:val="clear" w:color="auto" w:fill="FFFFFF"/>
        </w:rPr>
        <w:t xml:space="preserve">8  </w:t>
      </w:r>
      <w:r>
        <w:rPr>
          <w:rFonts w:hint="eastAsia" w:ascii="Times New Roman" w:hAnsi="Times New Roman" w:eastAsia="黑体"/>
          <w:b/>
          <w:bCs/>
          <w:color w:val="auto"/>
          <w:sz w:val="28"/>
          <w:szCs w:val="28"/>
          <w:highlight w:val="none"/>
          <w:shd w:val="clear" w:color="auto" w:fill="FFFFFF"/>
        </w:rPr>
        <w:t>优质水产养殖重点工程</w:t>
      </w:r>
      <w:bookmarkEnd w:id="296"/>
    </w:p>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lang w:val="sq-AL"/>
              </w:rPr>
            </w:pPr>
            <w:r>
              <w:rPr>
                <w:rFonts w:ascii="Times New Roman" w:hAnsi="Times New Roman" w:eastAsia="楷体_GB2312" w:cs="Times New Roman"/>
                <w:b/>
                <w:bCs/>
                <w:color w:val="auto"/>
                <w:sz w:val="28"/>
                <w:szCs w:val="28"/>
                <w:highlight w:val="none"/>
                <w:shd w:val="clear" w:color="auto" w:fill="FFFFFF"/>
              </w:rPr>
              <w:t xml:space="preserve">01 </w:t>
            </w:r>
            <w:r>
              <w:rPr>
                <w:rFonts w:ascii="Times New Roman" w:hAnsi="Times New Roman" w:eastAsia="楷体_GB2312" w:cs="Times New Roman"/>
                <w:b/>
                <w:bCs/>
                <w:color w:val="auto"/>
                <w:sz w:val="28"/>
                <w:szCs w:val="28"/>
                <w:highlight w:val="none"/>
                <w:shd w:val="clear" w:color="auto" w:fill="FFFFFF"/>
                <w:lang w:val="sq-AL"/>
              </w:rPr>
              <w:t>西部冷水型鱼类种质资源保育中心</w:t>
            </w:r>
          </w:p>
          <w:p>
            <w:pPr>
              <w:pStyle w:val="22"/>
              <w:snapToGrid w:val="0"/>
              <w:spacing w:line="500" w:lineRule="exact"/>
              <w:ind w:left="307" w:leftChars="146" w:firstLine="0" w:firstLineChars="0"/>
              <w:rPr>
                <w:rFonts w:ascii="Times New Roman" w:hAnsi="Times New Roman"/>
                <w:color w:val="auto"/>
                <w:sz w:val="28"/>
                <w:szCs w:val="28"/>
                <w:highlight w:val="none"/>
                <w:lang w:val="sq-AL"/>
              </w:rPr>
            </w:pPr>
            <w:r>
              <w:rPr>
                <w:rFonts w:ascii="Times New Roman" w:hAnsi="Times New Roman"/>
                <w:color w:val="auto"/>
                <w:sz w:val="28"/>
                <w:szCs w:val="28"/>
                <w:highlight w:val="none"/>
                <w:lang w:val="sq-AL"/>
              </w:rPr>
              <w:t>建设水产良种繁育基地100亩，为全县及周边区域水产养殖提供良种良苗。</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lang w:val="sq-AL"/>
              </w:rPr>
            </w:pPr>
            <w:r>
              <w:rPr>
                <w:rFonts w:ascii="Times New Roman" w:hAnsi="Times New Roman" w:eastAsia="楷体_GB2312" w:cs="Times New Roman"/>
                <w:b/>
                <w:bCs/>
                <w:color w:val="auto"/>
                <w:sz w:val="28"/>
                <w:szCs w:val="28"/>
                <w:highlight w:val="none"/>
                <w:shd w:val="clear" w:color="auto" w:fill="FFFFFF"/>
              </w:rPr>
              <w:t xml:space="preserve">02 </w:t>
            </w:r>
            <w:r>
              <w:rPr>
                <w:rFonts w:ascii="Times New Roman" w:hAnsi="Times New Roman" w:eastAsia="楷体_GB2312" w:cs="Times New Roman"/>
                <w:b/>
                <w:bCs/>
                <w:color w:val="auto"/>
                <w:sz w:val="28"/>
                <w:szCs w:val="28"/>
                <w:highlight w:val="none"/>
                <w:shd w:val="clear" w:color="auto" w:fill="FFFFFF"/>
                <w:lang w:val="sq-AL"/>
              </w:rPr>
              <w:t>优质冷水鱼基地</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lang w:val="sq-AL"/>
              </w:rPr>
              <w:t>新建200余亩冷水鱼养殖场，配套建设冷水鱼加工餐饮馆</w:t>
            </w:r>
            <w:r>
              <w:rPr>
                <w:rFonts w:hint="eastAsia" w:ascii="Times New Roman" w:hAnsi="Times New Roman"/>
                <w:color w:val="auto"/>
                <w:sz w:val="28"/>
                <w:szCs w:val="28"/>
                <w:highlight w:val="none"/>
                <w:lang w:val="sq-AL"/>
              </w:rPr>
              <w:t>，以及</w:t>
            </w:r>
            <w:r>
              <w:rPr>
                <w:rFonts w:ascii="Times New Roman" w:hAnsi="Times New Roman"/>
                <w:color w:val="auto"/>
                <w:sz w:val="28"/>
                <w:szCs w:val="28"/>
                <w:highlight w:val="none"/>
                <w:lang w:val="sq-AL"/>
              </w:rPr>
              <w:t>实验室、鱼苗繁育车间、活鱼加工车间、管理用房等配套</w:t>
            </w:r>
            <w:r>
              <w:rPr>
                <w:rFonts w:hint="eastAsia" w:ascii="Times New Roman" w:hAnsi="Times New Roman"/>
                <w:color w:val="auto"/>
                <w:sz w:val="28"/>
                <w:szCs w:val="28"/>
                <w:highlight w:val="none"/>
                <w:lang w:val="sq-AL"/>
              </w:rPr>
              <w:t>设施</w:t>
            </w:r>
            <w:r>
              <w:rPr>
                <w:rFonts w:ascii="Times New Roman" w:hAnsi="Times New Roman"/>
                <w:color w:val="auto"/>
                <w:sz w:val="28"/>
                <w:szCs w:val="28"/>
                <w:highlight w:val="none"/>
                <w:lang w:val="sq-AL"/>
              </w:rPr>
              <w:t>，改扩建部分鱼池，新装智能控制系统。</w:t>
            </w:r>
          </w:p>
        </w:tc>
      </w:tr>
    </w:tbl>
    <w:p>
      <w:pPr>
        <w:pStyle w:val="4"/>
        <w:keepLines w:val="0"/>
        <w:numPr>
          <w:ilvl w:val="1"/>
          <w:numId w:val="3"/>
        </w:numPr>
        <w:spacing w:before="312" w:beforeLines="100" w:after="312" w:afterLines="100" w:line="620" w:lineRule="exact"/>
        <w:jc w:val="center"/>
        <w:rPr>
          <w:rFonts w:ascii="Times New Roman" w:hAnsi="Times New Roman" w:cs="Times New Roman"/>
          <w:b/>
          <w:bCs/>
          <w:color w:val="auto"/>
          <w:highlight w:val="none"/>
        </w:rPr>
      </w:pPr>
      <w:bookmarkStart w:id="297" w:name="_Toc5713"/>
      <w:bookmarkStart w:id="298" w:name="_Toc22689"/>
      <w:bookmarkStart w:id="299" w:name="_Toc2874"/>
      <w:bookmarkStart w:id="300" w:name="_Toc75731152"/>
      <w:r>
        <w:rPr>
          <w:rFonts w:hint="eastAsia" w:ascii="Times New Roman" w:hAnsi="Times New Roman" w:cs="Times New Roman"/>
          <w:b/>
          <w:bCs/>
          <w:color w:val="auto"/>
          <w:highlight w:val="none"/>
        </w:rPr>
        <w:t>提质增效</w:t>
      </w:r>
      <w:r>
        <w:rPr>
          <w:rFonts w:ascii="Times New Roman" w:hAnsi="Times New Roman" w:cs="Times New Roman"/>
          <w:b/>
          <w:bCs/>
          <w:color w:val="auto"/>
          <w:highlight w:val="none"/>
        </w:rPr>
        <w:t>生态果蔬产业</w:t>
      </w:r>
      <w:bookmarkEnd w:id="297"/>
      <w:bookmarkEnd w:id="298"/>
      <w:bookmarkEnd w:id="299"/>
      <w:bookmarkEnd w:id="300"/>
    </w:p>
    <w:p>
      <w:pPr>
        <w:snapToGrid w:val="0"/>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以市场需求为导向，高标准建设“绿色”“有机”蔬菜标准化示范基地，引进发展高价值蔬菜品种，引进推广高效生态栽培技术，以高标准建设五宪千亩生态水果蔬菜种植基地为抓手，积极开发蔬菜产品，全面提升水果蔬菜质量安全和品质，实现水果蔬菜产业提质增效。到2025年，建成万亩标准化水果蔬菜种植基地，</w:t>
      </w:r>
      <w:r>
        <w:rPr>
          <w:rFonts w:hint="eastAsia" w:ascii="Times New Roman" w:hAnsi="Times New Roman" w:eastAsia="仿宋_GB2312" w:cs="Times New Roman"/>
          <w:color w:val="auto"/>
          <w:sz w:val="32"/>
          <w:szCs w:val="32"/>
          <w:highlight w:val="none"/>
        </w:rPr>
        <w:t>全县</w:t>
      </w:r>
      <w:r>
        <w:rPr>
          <w:rFonts w:ascii="Times New Roman" w:hAnsi="Times New Roman" w:eastAsia="仿宋_GB2312" w:cs="Times New Roman"/>
          <w:color w:val="auto"/>
          <w:sz w:val="32"/>
          <w:szCs w:val="32"/>
          <w:highlight w:val="none"/>
        </w:rPr>
        <w:t>蔬菜种植面积</w:t>
      </w:r>
      <w:r>
        <w:rPr>
          <w:rFonts w:hint="eastAsia" w:ascii="Times New Roman" w:hAnsi="Times New Roman" w:eastAsia="仿宋_GB2312" w:cs="Times New Roman"/>
          <w:color w:val="auto"/>
          <w:sz w:val="32"/>
          <w:szCs w:val="32"/>
          <w:highlight w:val="none"/>
        </w:rPr>
        <w:t>达</w:t>
      </w:r>
      <w:r>
        <w:rPr>
          <w:rFonts w:ascii="Times New Roman" w:hAnsi="Times New Roman" w:eastAsia="仿宋_GB2312" w:cs="Times New Roman"/>
          <w:color w:val="auto"/>
          <w:sz w:val="32"/>
          <w:szCs w:val="32"/>
          <w:highlight w:val="none"/>
        </w:rPr>
        <w:t>4万亩，优质蔬菜总产5万吨，总产值达1.5亿元。</w:t>
      </w:r>
    </w:p>
    <w:p>
      <w:pPr>
        <w:snapToGrid w:val="0"/>
        <w:spacing w:line="560" w:lineRule="exact"/>
        <w:ind w:firstLine="642" w:firstLineChars="200"/>
        <w:rPr>
          <w:rFonts w:ascii="Times New Roman" w:hAnsi="Times New Roman" w:eastAsia="仿宋_GB2312" w:cs="Times New Roman"/>
          <w:color w:val="auto"/>
          <w:sz w:val="32"/>
          <w:szCs w:val="32"/>
          <w:highlight w:val="none"/>
        </w:rPr>
      </w:pPr>
      <w:bookmarkStart w:id="301" w:name="_Toc25305"/>
      <w:bookmarkStart w:id="302" w:name="_Toc16477"/>
      <w:bookmarkStart w:id="303" w:name="_Toc31992"/>
      <w:bookmarkStart w:id="304" w:name="_Toc6753"/>
      <w:r>
        <w:rPr>
          <w:rFonts w:ascii="Times New Roman" w:hAnsi="Times New Roman" w:eastAsia="仿宋_GB2312" w:cs="Times New Roman"/>
          <w:b/>
          <w:bCs/>
          <w:color w:val="auto"/>
          <w:sz w:val="32"/>
          <w:szCs w:val="32"/>
          <w:highlight w:val="none"/>
        </w:rPr>
        <w:t>建设优质果蔬基地</w:t>
      </w:r>
      <w:bookmarkEnd w:id="301"/>
      <w:bookmarkEnd w:id="302"/>
      <w:bookmarkEnd w:id="303"/>
      <w:bookmarkEnd w:id="304"/>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以保障供给、农民增收、果蔬产品质量安全水平提升为目标，采取“政府主导、企业主体、农户参与”的运作模式，在五宪、青龙、严道街道等乡镇（街道）</w:t>
      </w:r>
      <w:r>
        <w:rPr>
          <w:rFonts w:hint="eastAsia" w:ascii="Times New Roman" w:hAnsi="Times New Roman" w:eastAsia="仿宋_GB2312" w:cs="Times New Roman"/>
          <w:color w:val="auto"/>
          <w:sz w:val="32"/>
          <w:szCs w:val="32"/>
          <w:highlight w:val="none"/>
        </w:rPr>
        <w:t>新建</w:t>
      </w:r>
      <w:r>
        <w:rPr>
          <w:rFonts w:ascii="Times New Roman" w:hAnsi="Times New Roman" w:eastAsia="仿宋_GB2312" w:cs="Times New Roman"/>
          <w:color w:val="auto"/>
          <w:sz w:val="32"/>
          <w:szCs w:val="32"/>
          <w:highlight w:val="none"/>
        </w:rPr>
        <w:t>优质猕猴桃种植基地和伏季水果种植基地1万亩，加快老旧</w:t>
      </w:r>
      <w:r>
        <w:rPr>
          <w:rFonts w:hint="eastAsia" w:ascii="Times New Roman" w:hAnsi="Times New Roman" w:eastAsia="仿宋_GB2312" w:cs="Times New Roman"/>
          <w:color w:val="auto"/>
          <w:sz w:val="32"/>
          <w:szCs w:val="32"/>
          <w:highlight w:val="none"/>
        </w:rPr>
        <w:t>低产</w:t>
      </w:r>
      <w:r>
        <w:rPr>
          <w:rFonts w:ascii="Times New Roman" w:hAnsi="Times New Roman" w:eastAsia="仿宋_GB2312" w:cs="Times New Roman"/>
          <w:color w:val="auto"/>
          <w:sz w:val="32"/>
          <w:szCs w:val="32"/>
          <w:highlight w:val="none"/>
        </w:rPr>
        <w:t>果园改造</w:t>
      </w:r>
      <w:r>
        <w:rPr>
          <w:rFonts w:hint="eastAsia" w:ascii="Times New Roman" w:hAnsi="Times New Roman" w:eastAsia="仿宋_GB2312" w:cs="Times New Roman"/>
          <w:color w:val="auto"/>
          <w:sz w:val="32"/>
          <w:szCs w:val="32"/>
          <w:highlight w:val="none"/>
        </w:rPr>
        <w:t>和</w:t>
      </w:r>
      <w:r>
        <w:rPr>
          <w:rFonts w:ascii="Times New Roman" w:hAnsi="Times New Roman" w:eastAsia="仿宋_GB2312" w:cs="Times New Roman"/>
          <w:color w:val="auto"/>
          <w:sz w:val="32"/>
          <w:szCs w:val="32"/>
          <w:highlight w:val="none"/>
        </w:rPr>
        <w:t>高效生态栽培技术的引进推广，全面提升水果质量安全和品质。</w:t>
      </w:r>
      <w:r>
        <w:rPr>
          <w:rFonts w:hint="eastAsia" w:ascii="Times New Roman" w:hAnsi="Times New Roman" w:eastAsia="仿宋_GB2312" w:cs="Times New Roman"/>
          <w:color w:val="auto"/>
          <w:sz w:val="32"/>
          <w:szCs w:val="32"/>
          <w:highlight w:val="none"/>
        </w:rPr>
        <w:t>重点</w:t>
      </w:r>
      <w:r>
        <w:rPr>
          <w:rFonts w:ascii="Times New Roman" w:hAnsi="Times New Roman" w:eastAsia="仿宋_GB2312" w:cs="Times New Roman"/>
          <w:color w:val="auto"/>
          <w:sz w:val="32"/>
          <w:szCs w:val="32"/>
          <w:highlight w:val="none"/>
        </w:rPr>
        <w:t>在严道街道、五宪镇、牛背山镇等乡镇，因地制宜建设绿色蔬菜或有机蔬菜种植基地4万亩，推广早春蔬菜-粮食-晚秋蔬菜标准化轮作</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在五宪镇和严道街道等适度发展标准化反季节蔬菜种植基地，扩大蔬菜的产量，提升经济效益。</w:t>
      </w:r>
    </w:p>
    <w:p>
      <w:pPr>
        <w:snapToGrid w:val="0"/>
        <w:spacing w:line="560" w:lineRule="exact"/>
        <w:ind w:firstLine="642" w:firstLineChars="200"/>
        <w:rPr>
          <w:rFonts w:ascii="Times New Roman" w:hAnsi="Times New Roman" w:eastAsia="仿宋_GB2312" w:cs="Times New Roman"/>
          <w:color w:val="auto"/>
          <w:sz w:val="32"/>
          <w:szCs w:val="32"/>
          <w:highlight w:val="none"/>
        </w:rPr>
      </w:pPr>
      <w:bookmarkStart w:id="305" w:name="_Toc24722"/>
      <w:bookmarkStart w:id="306" w:name="_Toc6020"/>
      <w:bookmarkStart w:id="307" w:name="_Toc23952"/>
      <w:bookmarkStart w:id="308" w:name="_Toc10827"/>
      <w:r>
        <w:rPr>
          <w:rFonts w:ascii="Times New Roman" w:hAnsi="Times New Roman" w:eastAsia="仿宋_GB2312" w:cs="Times New Roman"/>
          <w:b/>
          <w:bCs/>
          <w:color w:val="auto"/>
          <w:sz w:val="32"/>
          <w:szCs w:val="32"/>
          <w:highlight w:val="none"/>
        </w:rPr>
        <w:t>推进果蔬商品化加工</w:t>
      </w:r>
      <w:bookmarkEnd w:id="305"/>
      <w:bookmarkEnd w:id="306"/>
      <w:bookmarkEnd w:id="307"/>
      <w:bookmarkEnd w:id="308"/>
      <w:r>
        <w:rPr>
          <w:rFonts w:ascii="Times New Roman" w:hAnsi="Times New Roman" w:eastAsia="仿宋_GB2312" w:cs="Times New Roman"/>
          <w:b/>
          <w:bCs/>
          <w:color w:val="auto"/>
          <w:sz w:val="32"/>
          <w:szCs w:val="32"/>
          <w:highlight w:val="none"/>
        </w:rPr>
        <w:t>。</w:t>
      </w:r>
      <w:r>
        <w:rPr>
          <w:rFonts w:hint="eastAsia" w:ascii="Times New Roman" w:hAnsi="Times New Roman" w:eastAsia="仿宋_GB2312" w:cs="Times New Roman"/>
          <w:b w:val="0"/>
          <w:bCs w:val="0"/>
          <w:color w:val="auto"/>
          <w:sz w:val="32"/>
          <w:szCs w:val="32"/>
          <w:highlight w:val="none"/>
        </w:rPr>
        <w:t>加快在果蔬集中产区建设产地初加工点。</w:t>
      </w:r>
      <w:r>
        <w:rPr>
          <w:rFonts w:hint="eastAsia" w:ascii="Times New Roman" w:hAnsi="Times New Roman" w:eastAsia="仿宋_GB2312" w:cs="Times New Roman"/>
          <w:color w:val="auto"/>
          <w:sz w:val="32"/>
          <w:szCs w:val="32"/>
          <w:highlight w:val="none"/>
        </w:rPr>
        <w:t>积极</w:t>
      </w:r>
      <w:r>
        <w:rPr>
          <w:rFonts w:ascii="Times New Roman" w:hAnsi="Times New Roman" w:eastAsia="仿宋_GB2312" w:cs="Times New Roman"/>
          <w:color w:val="auto"/>
          <w:sz w:val="32"/>
          <w:szCs w:val="32"/>
          <w:highlight w:val="none"/>
        </w:rPr>
        <w:t>引进</w:t>
      </w:r>
      <w:r>
        <w:rPr>
          <w:rFonts w:hint="eastAsia" w:ascii="Times New Roman" w:hAnsi="Times New Roman" w:eastAsia="仿宋_GB2312" w:cs="Times New Roman"/>
          <w:color w:val="auto"/>
          <w:sz w:val="32"/>
          <w:szCs w:val="32"/>
          <w:highlight w:val="none"/>
        </w:rPr>
        <w:t>食品加工企业，加快建成</w:t>
      </w:r>
      <w:r>
        <w:rPr>
          <w:rFonts w:ascii="Times New Roman" w:hAnsi="Times New Roman" w:eastAsia="仿宋_GB2312" w:cs="Times New Roman"/>
          <w:color w:val="auto"/>
          <w:sz w:val="32"/>
          <w:szCs w:val="32"/>
          <w:highlight w:val="none"/>
        </w:rPr>
        <w:t>集洗净、分选等环节于一体的果品商品化处理生产线，对果蔬产品采摘后进行一定程度的商品化处理。结合保鲜与产品流通体系、质量安全保障体系等配套体系建设，引进和培育现代果蔬的加工、包装、物流等企业5家</w:t>
      </w:r>
      <w:r>
        <w:rPr>
          <w:rFonts w:hint="eastAsia" w:ascii="Times New Roman" w:hAnsi="Times New Roman" w:eastAsia="仿宋_GB2312" w:cs="Times New Roman"/>
          <w:color w:val="auto"/>
          <w:sz w:val="32"/>
          <w:szCs w:val="32"/>
          <w:highlight w:val="none"/>
        </w:rPr>
        <w:t>，</w:t>
      </w:r>
      <w:r>
        <w:rPr>
          <w:rFonts w:ascii="Times New Roman" w:hAnsi="Times New Roman" w:eastAsia="仿宋_GB2312" w:cs="Times New Roman"/>
          <w:color w:val="auto"/>
          <w:sz w:val="32"/>
          <w:szCs w:val="32"/>
          <w:highlight w:val="none"/>
        </w:rPr>
        <w:t>实现高质量高效率的果蔬商品化处理和分类包装，提升荥经县果蔬的市场营销能力和品牌形象。</w:t>
      </w:r>
    </w:p>
    <w:p>
      <w:pPr>
        <w:snapToGrid w:val="0"/>
        <w:spacing w:line="560" w:lineRule="exact"/>
        <w:ind w:firstLine="642" w:firstLineChars="200"/>
        <w:rPr>
          <w:rFonts w:ascii="Times New Roman" w:hAnsi="Times New Roman" w:eastAsia="仿宋_GB2312" w:cs="Times New Roman"/>
          <w:color w:val="auto"/>
          <w:sz w:val="32"/>
          <w:szCs w:val="32"/>
          <w:highlight w:val="none"/>
        </w:rPr>
      </w:pPr>
      <w:bookmarkStart w:id="309" w:name="_Toc16440"/>
      <w:bookmarkStart w:id="310" w:name="_Toc9173"/>
      <w:bookmarkStart w:id="311" w:name="_Toc19030"/>
      <w:bookmarkStart w:id="312" w:name="_Toc3717"/>
      <w:r>
        <w:rPr>
          <w:rFonts w:ascii="Times New Roman" w:hAnsi="Times New Roman" w:eastAsia="仿宋_GB2312" w:cs="Times New Roman"/>
          <w:b/>
          <w:bCs/>
          <w:color w:val="auto"/>
          <w:sz w:val="32"/>
          <w:szCs w:val="32"/>
          <w:highlight w:val="none"/>
        </w:rPr>
        <w:t>促进果蔬产业农旅融合</w:t>
      </w:r>
      <w:bookmarkEnd w:id="309"/>
      <w:bookmarkEnd w:id="310"/>
      <w:bookmarkEnd w:id="311"/>
      <w:bookmarkEnd w:id="312"/>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通过结合各地乡村的地理特点、文化特点，依托果蔬产业基地，一方面做好果蔬采摘观光等传统休闲农业发展模式，另一方面进行盆栽果蔬、袖珍果蔬创意化设计，形成以果蔬果实、果树、花朵等富有吉祥寓意的各种创意性景观，打造全感官体验，形成荥经地方特色果蔬展示窗口。</w:t>
      </w:r>
    </w:p>
    <w:p>
      <w:pPr>
        <w:pStyle w:val="22"/>
        <w:snapToGrid w:val="0"/>
        <w:spacing w:before="156" w:beforeLines="50" w:after="156" w:afterLines="50" w:line="580" w:lineRule="exact"/>
        <w:ind w:firstLine="0" w:firstLineChars="0"/>
        <w:jc w:val="center"/>
        <w:rPr>
          <w:rFonts w:ascii="Times New Roman" w:hAnsi="Times New Roman" w:eastAsia="黑体"/>
          <w:b/>
          <w:bCs/>
          <w:color w:val="auto"/>
          <w:sz w:val="28"/>
          <w:szCs w:val="28"/>
          <w:highlight w:val="none"/>
          <w:shd w:val="clear" w:color="auto" w:fill="FFFFFF"/>
        </w:rPr>
      </w:pPr>
      <w:r>
        <w:rPr>
          <w:rFonts w:ascii="Times New Roman" w:hAnsi="Times New Roman" w:eastAsia="黑体"/>
          <w:b/>
          <w:bCs/>
          <w:color w:val="auto"/>
          <w:sz w:val="28"/>
          <w:szCs w:val="28"/>
          <w:highlight w:val="none"/>
          <w:shd w:val="clear" w:color="auto" w:fill="FFFFFF"/>
        </w:rPr>
        <w:t>专栏9  生态蔬菜产业重点工程</w:t>
      </w:r>
    </w:p>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01 标准化蔬菜基地建设</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hint="eastAsia" w:ascii="Times New Roman" w:hAnsi="Times New Roman"/>
                <w:color w:val="auto"/>
                <w:sz w:val="28"/>
                <w:szCs w:val="28"/>
                <w:highlight w:val="none"/>
              </w:rPr>
              <w:t>在严道街道、五宪镇、牛背山镇等乡镇新改建</w:t>
            </w:r>
            <w:r>
              <w:rPr>
                <w:rFonts w:ascii="Times New Roman" w:hAnsi="Times New Roman"/>
                <w:color w:val="auto"/>
                <w:sz w:val="28"/>
                <w:szCs w:val="28"/>
                <w:highlight w:val="none"/>
              </w:rPr>
              <w:t>优质蔬菜基地4万亩</w:t>
            </w:r>
            <w:r>
              <w:rPr>
                <w:rFonts w:hint="eastAsia" w:ascii="Times New Roman" w:hAnsi="Times New Roman"/>
                <w:color w:val="auto"/>
                <w:sz w:val="28"/>
                <w:szCs w:val="28"/>
                <w:highlight w:val="none"/>
              </w:rPr>
              <w:t>，</w:t>
            </w:r>
            <w:r>
              <w:rPr>
                <w:rFonts w:ascii="Times New Roman" w:hAnsi="Times New Roman"/>
                <w:color w:val="auto"/>
                <w:sz w:val="28"/>
                <w:szCs w:val="28"/>
                <w:highlight w:val="none"/>
              </w:rPr>
              <w:t>推广早春蔬菜-粮食-晚秋蔬菜标准化轮作</w:t>
            </w:r>
            <w:r>
              <w:rPr>
                <w:rFonts w:hint="eastAsia" w:ascii="Times New Roman" w:hAnsi="Times New Roman"/>
                <w:color w:val="auto"/>
                <w:sz w:val="28"/>
                <w:szCs w:val="28"/>
                <w:highlight w:val="none"/>
              </w:rPr>
              <w:t>模式</w:t>
            </w:r>
            <w:r>
              <w:rPr>
                <w:rFonts w:ascii="Times New Roman" w:hAnsi="Times New Roman"/>
                <w:color w:val="auto"/>
                <w:sz w:val="28"/>
                <w:szCs w:val="28"/>
                <w:highlight w:val="none"/>
              </w:rPr>
              <w:t>。</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02 标准化水果基地建设</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按照绿色食品标准和现代农业园区的建设标准，建设150亩草莓生态观光基地，配套草莓初选等生产线，配套相关设备设施，采购运输、生产车辆机具。完善现有猕猴桃、脆红李种植园区的建设，发展高标准产业基地1万亩。</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03 现代果蔬精深加工建设</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引进和培育现代果蔬加工、包装、物流等企业5家，完善果蔬产品加工体系、保鲜与产品流通体系、质量安全保障体系等配套体系建设，实现高质量高效率的果蔬商品化处理和分类包装。</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04 果蔬产业与旅游产业融合点建设</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hint="eastAsia" w:ascii="Times New Roman" w:hAnsi="Times New Roman"/>
                <w:color w:val="auto"/>
                <w:sz w:val="28"/>
                <w:szCs w:val="28"/>
                <w:highlight w:val="none"/>
              </w:rPr>
              <w:t>新建</w:t>
            </w:r>
            <w:r>
              <w:rPr>
                <w:rFonts w:ascii="Times New Roman" w:hAnsi="Times New Roman"/>
                <w:color w:val="auto"/>
                <w:sz w:val="28"/>
                <w:szCs w:val="28"/>
                <w:highlight w:val="none"/>
              </w:rPr>
              <w:t>果蔬产业与旅游产业融合点3-4个，</w:t>
            </w:r>
            <w:r>
              <w:rPr>
                <w:rFonts w:hint="eastAsia" w:ascii="Times New Roman" w:hAnsi="Times New Roman"/>
                <w:color w:val="auto"/>
                <w:sz w:val="28"/>
                <w:szCs w:val="28"/>
                <w:highlight w:val="none"/>
              </w:rPr>
              <w:t>重点</w:t>
            </w:r>
            <w:r>
              <w:rPr>
                <w:rFonts w:ascii="Times New Roman" w:hAnsi="Times New Roman"/>
                <w:color w:val="auto"/>
                <w:sz w:val="28"/>
                <w:szCs w:val="28"/>
                <w:highlight w:val="none"/>
              </w:rPr>
              <w:t>发展以果蔬采摘、果蔬品尝为主题的农业休闲产业。</w:t>
            </w:r>
          </w:p>
        </w:tc>
      </w:tr>
    </w:tbl>
    <w:p>
      <w:pPr>
        <w:pStyle w:val="4"/>
        <w:keepLines w:val="0"/>
        <w:numPr>
          <w:ilvl w:val="1"/>
          <w:numId w:val="3"/>
        </w:numPr>
        <w:spacing w:before="312" w:beforeLines="100" w:after="312" w:afterLines="100" w:line="620" w:lineRule="exact"/>
        <w:jc w:val="center"/>
        <w:rPr>
          <w:rFonts w:ascii="Times New Roman" w:hAnsi="Times New Roman" w:cs="Times New Roman"/>
          <w:b/>
          <w:bCs/>
          <w:color w:val="auto"/>
          <w:highlight w:val="none"/>
        </w:rPr>
      </w:pPr>
      <w:bookmarkStart w:id="313" w:name="_Toc3927"/>
      <w:bookmarkStart w:id="314" w:name="_Toc20023"/>
      <w:bookmarkStart w:id="315" w:name="_Toc75731153"/>
      <w:bookmarkStart w:id="316" w:name="_Toc264"/>
      <w:r>
        <w:rPr>
          <w:rFonts w:ascii="Times New Roman" w:hAnsi="Times New Roman" w:cs="Times New Roman"/>
          <w:b/>
          <w:bCs/>
          <w:color w:val="auto"/>
          <w:highlight w:val="none"/>
        </w:rPr>
        <w:t>适度发展高山蜂产业</w:t>
      </w:r>
      <w:bookmarkEnd w:id="313"/>
      <w:bookmarkEnd w:id="314"/>
      <w:bookmarkEnd w:id="315"/>
      <w:bookmarkEnd w:id="316"/>
    </w:p>
    <w:p>
      <w:pPr>
        <w:snapToGrid w:val="0"/>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充分发挥蜂产业的“小而精”的优势，</w:t>
      </w:r>
      <w:r>
        <w:rPr>
          <w:rFonts w:hint="eastAsia" w:ascii="Times New Roman" w:hAnsi="Times New Roman" w:eastAsia="仿宋_GB2312" w:cs="Times New Roman"/>
          <w:color w:val="auto"/>
          <w:sz w:val="32"/>
          <w:szCs w:val="32"/>
          <w:highlight w:val="none"/>
        </w:rPr>
        <w:t>充分调动</w:t>
      </w:r>
      <w:r>
        <w:rPr>
          <w:rFonts w:ascii="Times New Roman" w:hAnsi="Times New Roman" w:eastAsia="仿宋_GB2312" w:cs="Times New Roman"/>
          <w:color w:val="auto"/>
          <w:sz w:val="32"/>
          <w:szCs w:val="32"/>
          <w:highlight w:val="none"/>
        </w:rPr>
        <w:t>农户和业主的积极性，</w:t>
      </w:r>
      <w:r>
        <w:rPr>
          <w:rFonts w:hint="eastAsia" w:ascii="Times New Roman" w:hAnsi="Times New Roman" w:eastAsia="仿宋_GB2312" w:cs="Times New Roman"/>
          <w:color w:val="auto"/>
          <w:sz w:val="32"/>
          <w:szCs w:val="32"/>
          <w:highlight w:val="none"/>
        </w:rPr>
        <w:t>在</w:t>
      </w:r>
      <w:r>
        <w:rPr>
          <w:rFonts w:ascii="Times New Roman" w:hAnsi="Times New Roman" w:eastAsia="仿宋_GB2312" w:cs="Times New Roman"/>
          <w:color w:val="auto"/>
          <w:sz w:val="32"/>
          <w:szCs w:val="32"/>
          <w:highlight w:val="none"/>
        </w:rPr>
        <w:t>牛背山、荥河、泗坪、龙苍沟为重点乡镇</w:t>
      </w:r>
      <w:r>
        <w:rPr>
          <w:rFonts w:hint="eastAsia" w:ascii="Times New Roman" w:hAnsi="Times New Roman" w:eastAsia="仿宋_GB2312" w:cs="Times New Roman"/>
          <w:color w:val="auto"/>
          <w:sz w:val="32"/>
          <w:szCs w:val="32"/>
          <w:highlight w:val="none"/>
        </w:rPr>
        <w:t>发展</w:t>
      </w:r>
      <w:r>
        <w:rPr>
          <w:rFonts w:ascii="Times New Roman" w:hAnsi="Times New Roman" w:eastAsia="仿宋_GB2312" w:cs="Times New Roman"/>
          <w:color w:val="auto"/>
          <w:sz w:val="32"/>
          <w:szCs w:val="32"/>
          <w:highlight w:val="none"/>
        </w:rPr>
        <w:t>中华蜜蜂养殖，将荥经高山蜂蜜产业发展为具有荥经特色的名优产品</w:t>
      </w:r>
      <w:r>
        <w:rPr>
          <w:rFonts w:hint="eastAsia" w:ascii="Times New Roman" w:hAnsi="Times New Roman" w:eastAsia="仿宋_GB2312" w:cs="Times New Roman"/>
          <w:color w:val="auto"/>
          <w:sz w:val="32"/>
          <w:szCs w:val="32"/>
          <w:highlight w:val="none"/>
        </w:rPr>
        <w:t>，将</w:t>
      </w:r>
      <w:r>
        <w:rPr>
          <w:rFonts w:ascii="Times New Roman" w:hAnsi="Times New Roman" w:eastAsia="仿宋_GB2312" w:cs="Times New Roman"/>
          <w:color w:val="auto"/>
          <w:sz w:val="32"/>
          <w:szCs w:val="32"/>
          <w:highlight w:val="none"/>
        </w:rPr>
        <w:t>荥经</w:t>
      </w:r>
      <w:r>
        <w:rPr>
          <w:rFonts w:hint="eastAsia" w:ascii="Times New Roman" w:hAnsi="Times New Roman" w:eastAsia="仿宋_GB2312" w:cs="Times New Roman"/>
          <w:color w:val="auto"/>
          <w:sz w:val="32"/>
          <w:szCs w:val="32"/>
          <w:highlight w:val="none"/>
        </w:rPr>
        <w:t>打造为</w:t>
      </w:r>
      <w:r>
        <w:rPr>
          <w:rFonts w:ascii="Times New Roman" w:hAnsi="Times New Roman" w:eastAsia="仿宋_GB2312" w:cs="Times New Roman"/>
          <w:color w:val="auto"/>
          <w:sz w:val="32"/>
          <w:szCs w:val="32"/>
          <w:highlight w:val="none"/>
        </w:rPr>
        <w:t>全省高山特色蜂业县。到2025年，蜂产业产值达到1亿元</w:t>
      </w:r>
    </w:p>
    <w:p>
      <w:pPr>
        <w:snapToGrid w:val="0"/>
        <w:spacing w:line="560" w:lineRule="exact"/>
        <w:ind w:firstLine="642" w:firstLineChars="200"/>
        <w:rPr>
          <w:rFonts w:ascii="Times New Roman" w:hAnsi="Times New Roman" w:eastAsia="仿宋_GB2312" w:cs="Times New Roman"/>
          <w:color w:val="auto"/>
          <w:sz w:val="32"/>
          <w:szCs w:val="32"/>
          <w:highlight w:val="none"/>
        </w:rPr>
      </w:pPr>
      <w:bookmarkStart w:id="317" w:name="_Toc10424"/>
      <w:bookmarkStart w:id="318" w:name="_Toc539"/>
      <w:bookmarkStart w:id="319" w:name="_Toc8107"/>
      <w:bookmarkStart w:id="320" w:name="_Toc16476"/>
      <w:r>
        <w:rPr>
          <w:rFonts w:hint="eastAsia" w:ascii="Times New Roman" w:hAnsi="Times New Roman" w:eastAsia="仿宋_GB2312" w:cs="Times New Roman"/>
          <w:b/>
          <w:bCs/>
          <w:color w:val="auto"/>
          <w:sz w:val="32"/>
          <w:szCs w:val="32"/>
          <w:highlight w:val="none"/>
        </w:rPr>
        <w:t>加快</w:t>
      </w:r>
      <w:r>
        <w:rPr>
          <w:rFonts w:ascii="Times New Roman" w:hAnsi="Times New Roman" w:eastAsia="仿宋_GB2312" w:cs="Times New Roman"/>
          <w:b/>
          <w:bCs/>
          <w:color w:val="auto"/>
          <w:sz w:val="32"/>
          <w:szCs w:val="32"/>
          <w:highlight w:val="none"/>
        </w:rPr>
        <w:t>蜜蜂养殖户培育</w:t>
      </w:r>
      <w:bookmarkEnd w:id="317"/>
      <w:bookmarkEnd w:id="318"/>
      <w:bookmarkEnd w:id="319"/>
      <w:bookmarkEnd w:id="320"/>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以牛背山镇、龙苍沟镇广阔的林地资源为基础，充分利用现有蜂蜜品牌效应，</w:t>
      </w:r>
      <w:r>
        <w:rPr>
          <w:rFonts w:hint="eastAsia" w:ascii="Times New Roman" w:hAnsi="Times New Roman" w:eastAsia="仿宋_GB2312" w:cs="Times New Roman"/>
          <w:color w:val="auto"/>
          <w:sz w:val="32"/>
          <w:szCs w:val="32"/>
          <w:highlight w:val="none"/>
        </w:rPr>
        <w:t>加快培育</w:t>
      </w:r>
      <w:r>
        <w:rPr>
          <w:rFonts w:ascii="Times New Roman" w:hAnsi="Times New Roman" w:eastAsia="仿宋_GB2312" w:cs="Times New Roman"/>
          <w:color w:val="auto"/>
          <w:sz w:val="32"/>
          <w:szCs w:val="32"/>
          <w:highlight w:val="none"/>
        </w:rPr>
        <w:t>蜜蜂养殖</w:t>
      </w:r>
      <w:r>
        <w:rPr>
          <w:rFonts w:hint="eastAsia" w:ascii="Times New Roman" w:hAnsi="Times New Roman" w:eastAsia="仿宋_GB2312" w:cs="Times New Roman"/>
          <w:color w:val="auto"/>
          <w:sz w:val="32"/>
          <w:szCs w:val="32"/>
          <w:highlight w:val="none"/>
        </w:rPr>
        <w:t>大户</w:t>
      </w:r>
      <w:r>
        <w:rPr>
          <w:rFonts w:ascii="Times New Roman" w:hAnsi="Times New Roman" w:eastAsia="仿宋_GB2312" w:cs="Times New Roman"/>
          <w:color w:val="auto"/>
          <w:sz w:val="32"/>
          <w:szCs w:val="32"/>
          <w:highlight w:val="none"/>
        </w:rPr>
        <w:t>，推广“公司+合作社”“公司+协会+合作社”“公司+中介机构+合作社”等形式，解决分散蜂农面临的诸多问题，大力推行中蜂养殖技术。</w:t>
      </w:r>
    </w:p>
    <w:p>
      <w:pPr>
        <w:snapToGrid w:val="0"/>
        <w:spacing w:line="560" w:lineRule="exact"/>
        <w:ind w:firstLine="642" w:firstLineChars="200"/>
        <w:rPr>
          <w:rFonts w:ascii="Times New Roman" w:hAnsi="Times New Roman" w:eastAsia="仿宋_GB2312" w:cs="Times New Roman"/>
          <w:color w:val="auto"/>
          <w:sz w:val="32"/>
          <w:szCs w:val="32"/>
          <w:highlight w:val="none"/>
        </w:rPr>
      </w:pPr>
      <w:bookmarkStart w:id="321" w:name="_Toc30507"/>
      <w:bookmarkStart w:id="322" w:name="_Toc1246"/>
      <w:bookmarkStart w:id="323" w:name="_Toc9554"/>
      <w:bookmarkStart w:id="324" w:name="_Toc9724"/>
      <w:r>
        <w:rPr>
          <w:rFonts w:hint="eastAsia" w:ascii="Times New Roman" w:hAnsi="Times New Roman" w:eastAsia="仿宋_GB2312" w:cs="Times New Roman"/>
          <w:b/>
          <w:bCs/>
          <w:color w:val="auto"/>
          <w:sz w:val="32"/>
          <w:szCs w:val="32"/>
          <w:highlight w:val="none"/>
        </w:rPr>
        <w:t>推进</w:t>
      </w:r>
      <w:r>
        <w:rPr>
          <w:rFonts w:ascii="Times New Roman" w:hAnsi="Times New Roman" w:eastAsia="仿宋_GB2312" w:cs="Times New Roman"/>
          <w:b/>
          <w:bCs/>
          <w:color w:val="auto"/>
          <w:sz w:val="32"/>
          <w:szCs w:val="32"/>
          <w:highlight w:val="none"/>
        </w:rPr>
        <w:t>蜂</w:t>
      </w:r>
      <w:r>
        <w:rPr>
          <w:rFonts w:hint="eastAsia" w:ascii="Times New Roman" w:hAnsi="Times New Roman" w:eastAsia="仿宋_GB2312" w:cs="Times New Roman"/>
          <w:b/>
          <w:bCs/>
          <w:color w:val="auto"/>
          <w:sz w:val="32"/>
          <w:szCs w:val="32"/>
          <w:highlight w:val="none"/>
        </w:rPr>
        <w:t>业</w:t>
      </w:r>
      <w:r>
        <w:rPr>
          <w:rFonts w:ascii="Times New Roman" w:hAnsi="Times New Roman" w:eastAsia="仿宋_GB2312" w:cs="Times New Roman"/>
          <w:b/>
          <w:bCs/>
          <w:color w:val="auto"/>
          <w:sz w:val="32"/>
          <w:szCs w:val="32"/>
          <w:highlight w:val="none"/>
        </w:rPr>
        <w:t>产业化</w:t>
      </w:r>
      <w:bookmarkEnd w:id="321"/>
      <w:bookmarkEnd w:id="322"/>
      <w:bookmarkEnd w:id="323"/>
      <w:bookmarkEnd w:id="324"/>
      <w:r>
        <w:rPr>
          <w:rFonts w:hint="eastAsia" w:ascii="Times New Roman" w:hAnsi="Times New Roman" w:eastAsia="仿宋_GB2312" w:cs="Times New Roman"/>
          <w:b/>
          <w:bCs/>
          <w:color w:val="auto"/>
          <w:sz w:val="32"/>
          <w:szCs w:val="32"/>
          <w:highlight w:val="none"/>
        </w:rPr>
        <w:t>经营</w:t>
      </w:r>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蜂蜜在荥经县及周边地区具有较大的市场，在原有的基础上，加大对蜂产业的</w:t>
      </w:r>
      <w:r>
        <w:rPr>
          <w:rFonts w:hint="eastAsia" w:ascii="Times New Roman" w:hAnsi="Times New Roman" w:eastAsia="仿宋_GB2312" w:cs="Times New Roman"/>
          <w:color w:val="auto"/>
          <w:sz w:val="32"/>
          <w:szCs w:val="32"/>
          <w:highlight w:val="none"/>
        </w:rPr>
        <w:t>政策</w:t>
      </w:r>
      <w:r>
        <w:rPr>
          <w:rFonts w:ascii="Times New Roman" w:hAnsi="Times New Roman" w:eastAsia="仿宋_GB2312" w:cs="Times New Roman"/>
          <w:color w:val="auto"/>
          <w:sz w:val="32"/>
          <w:szCs w:val="32"/>
          <w:highlight w:val="none"/>
        </w:rPr>
        <w:t>扶持力度。加强荥经蜜蜂养殖技术提升，</w:t>
      </w:r>
      <w:r>
        <w:rPr>
          <w:rFonts w:hint="eastAsia" w:ascii="Times New Roman" w:hAnsi="Times New Roman" w:eastAsia="仿宋_GB2312" w:cs="Times New Roman"/>
          <w:color w:val="auto"/>
          <w:sz w:val="32"/>
          <w:szCs w:val="32"/>
          <w:highlight w:val="none"/>
        </w:rPr>
        <w:t>加快</w:t>
      </w:r>
      <w:r>
        <w:rPr>
          <w:rFonts w:ascii="Times New Roman" w:hAnsi="Times New Roman" w:eastAsia="仿宋_GB2312" w:cs="Times New Roman"/>
          <w:color w:val="auto"/>
          <w:sz w:val="32"/>
          <w:szCs w:val="32"/>
          <w:highlight w:val="none"/>
        </w:rPr>
        <w:t>培育</w:t>
      </w:r>
      <w:r>
        <w:rPr>
          <w:rFonts w:hint="eastAsia" w:ascii="Times New Roman" w:hAnsi="Times New Roman" w:eastAsia="仿宋_GB2312" w:cs="Times New Roman"/>
          <w:color w:val="auto"/>
          <w:sz w:val="32"/>
          <w:szCs w:val="32"/>
          <w:highlight w:val="none"/>
        </w:rPr>
        <w:t>蜜蜂</w:t>
      </w:r>
      <w:r>
        <w:rPr>
          <w:rFonts w:ascii="Times New Roman" w:hAnsi="Times New Roman" w:eastAsia="仿宋_GB2312" w:cs="Times New Roman"/>
          <w:color w:val="auto"/>
          <w:sz w:val="32"/>
          <w:szCs w:val="32"/>
          <w:highlight w:val="none"/>
        </w:rPr>
        <w:t>优良品种。开拓荥经蜂蜜新用途，通过对蜂蜜、花粉、蜂王浆、蜂胶、蜂蜡等蜂蜜系列产品进行精深加工，如在饮料、赋形剂、制药和化妆品方面，建设高标准荥经蜂产品精深加工厂3家，进行荥经蜂蜜系列产品开发。</w:t>
      </w:r>
      <w:r>
        <w:rPr>
          <w:rFonts w:hint="eastAsia" w:ascii="Times New Roman" w:hAnsi="Times New Roman" w:eastAsia="仿宋_GB2312" w:cs="Times New Roman"/>
          <w:color w:val="auto"/>
          <w:sz w:val="32"/>
          <w:szCs w:val="32"/>
          <w:highlight w:val="none"/>
        </w:rPr>
        <w:t>积极开展蜂业与文化旅游融合发展，推进蜂蜜科普园建设。</w:t>
      </w:r>
    </w:p>
    <w:p>
      <w:pPr>
        <w:pStyle w:val="22"/>
        <w:snapToGrid w:val="0"/>
        <w:spacing w:before="156" w:beforeLines="50" w:after="156" w:afterLines="50" w:line="580" w:lineRule="exact"/>
        <w:ind w:firstLine="0" w:firstLineChars="0"/>
        <w:jc w:val="center"/>
        <w:rPr>
          <w:rFonts w:ascii="Times New Roman" w:hAnsi="Times New Roman" w:eastAsia="黑体"/>
          <w:b/>
          <w:bCs/>
          <w:color w:val="auto"/>
          <w:sz w:val="28"/>
          <w:szCs w:val="28"/>
          <w:highlight w:val="none"/>
          <w:shd w:val="clear" w:color="auto" w:fill="FFFFFF"/>
        </w:rPr>
      </w:pPr>
      <w:r>
        <w:rPr>
          <w:rFonts w:ascii="Times New Roman" w:hAnsi="Times New Roman" w:eastAsia="黑体"/>
          <w:b/>
          <w:bCs/>
          <w:color w:val="auto"/>
          <w:sz w:val="28"/>
          <w:szCs w:val="28"/>
          <w:highlight w:val="none"/>
          <w:shd w:val="clear" w:color="auto" w:fill="FFFFFF"/>
        </w:rPr>
        <w:t>专栏10  蜂产业提质增效重点工程</w:t>
      </w:r>
    </w:p>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01 蜂蜜加工产业园区建设</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在蜂蜜集中产区，建立蜂蜜产地初加工厂和引进蜂产品精深加工企业3家，对蜂蜜、花粉、蜂王浆、蜂胶、蜂蜡等蜂蜜系列产品中的进行加工。</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02 蜜蜂科普园建设</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打造蜜蜂文化馆和养蜂体验场两大区块。通过养蜂建设体验场，进行采蜜、摇蜜等体验活动；在蜜蜂文化馆进行荥经养蜂业历史档案、原始蜂产品、养蜂工具、蜂蜜延伸品等科普展示展览。</w:t>
            </w:r>
          </w:p>
        </w:tc>
      </w:tr>
    </w:tbl>
    <w:p>
      <w:pPr>
        <w:pStyle w:val="4"/>
        <w:keepLines w:val="0"/>
        <w:numPr>
          <w:ilvl w:val="1"/>
          <w:numId w:val="3"/>
        </w:numPr>
        <w:spacing w:before="312" w:beforeLines="100" w:after="312" w:afterLines="100" w:line="620" w:lineRule="exact"/>
        <w:jc w:val="center"/>
        <w:rPr>
          <w:rFonts w:ascii="Times New Roman" w:hAnsi="Times New Roman" w:cs="Times New Roman"/>
          <w:b/>
          <w:bCs/>
          <w:color w:val="auto"/>
          <w:highlight w:val="none"/>
        </w:rPr>
      </w:pPr>
      <w:bookmarkStart w:id="325" w:name="_Toc13348"/>
      <w:bookmarkStart w:id="326" w:name="_Toc4342"/>
      <w:bookmarkStart w:id="327" w:name="_Toc7563"/>
      <w:bookmarkStart w:id="328" w:name="_Toc75731154"/>
      <w:r>
        <w:rPr>
          <w:rFonts w:ascii="Times New Roman" w:hAnsi="Times New Roman" w:cs="Times New Roman"/>
          <w:b/>
          <w:bCs/>
          <w:color w:val="auto"/>
          <w:highlight w:val="none"/>
        </w:rPr>
        <w:t>积极发展休闲观光农业</w:t>
      </w:r>
      <w:bookmarkEnd w:id="325"/>
      <w:bookmarkEnd w:id="326"/>
      <w:bookmarkEnd w:id="327"/>
      <w:bookmarkEnd w:id="328"/>
    </w:p>
    <w:p>
      <w:pPr>
        <w:snapToGrid w:val="0"/>
        <w:spacing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以“生态荥经，鸽子花都”为总体定位，“以花为媒、文旅搭台、产业唱戏”，促进生态文化旅游融合发展，将休闲农业与乡村旅游作为全面推进产业振兴的重要抓手，依托良好田园景观和秀丽的自然资源，以农业产业和自然景观为基础，旅游为载体，积极打造精品乡村旅游线路，大力发展多元化观光农业和发展特色乡村旅游经济，提高农业效益，促进农民增收。</w:t>
      </w:r>
    </w:p>
    <w:p>
      <w:pPr>
        <w:snapToGrid w:val="0"/>
        <w:spacing w:line="560" w:lineRule="exact"/>
        <w:ind w:firstLine="642" w:firstLineChars="200"/>
        <w:rPr>
          <w:rFonts w:ascii="Times New Roman" w:hAnsi="Times New Roman" w:eastAsia="仿宋_GB2312" w:cs="Times New Roman"/>
          <w:color w:val="auto"/>
          <w:sz w:val="32"/>
          <w:szCs w:val="32"/>
          <w:highlight w:val="none"/>
        </w:rPr>
      </w:pPr>
      <w:bookmarkStart w:id="329" w:name="_Toc8473"/>
      <w:bookmarkStart w:id="330" w:name="_Toc6327"/>
      <w:bookmarkStart w:id="331" w:name="_Toc26517"/>
      <w:bookmarkStart w:id="332" w:name="_Toc17357"/>
      <w:r>
        <w:rPr>
          <w:rFonts w:ascii="Times New Roman" w:hAnsi="Times New Roman" w:eastAsia="仿宋_GB2312" w:cs="Times New Roman"/>
          <w:b/>
          <w:bCs/>
          <w:color w:val="auto"/>
          <w:sz w:val="32"/>
          <w:szCs w:val="32"/>
          <w:highlight w:val="none"/>
        </w:rPr>
        <w:t>优化乡村旅游空间布局</w:t>
      </w:r>
      <w:bookmarkEnd w:id="329"/>
      <w:bookmarkEnd w:id="330"/>
      <w:bookmarkEnd w:id="331"/>
      <w:bookmarkEnd w:id="332"/>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以“建设国际森林康养度假目的地”为目标，依托农业产业片区，建设休闲养生与山林田园美景融合的农旅产业大环线，构建“一线十集群”乡村休闲旅游集群，实现以线串点，以点带面发展森林康养休闲观光农业。</w:t>
      </w:r>
      <w:r>
        <w:rPr>
          <w:rFonts w:ascii="Times New Roman" w:hAnsi="Times New Roman" w:eastAsia="仿宋_GB2312" w:cs="Times New Roman"/>
          <w:b/>
          <w:bCs/>
          <w:color w:val="auto"/>
          <w:sz w:val="32"/>
          <w:szCs w:val="32"/>
          <w:highlight w:val="none"/>
        </w:rPr>
        <w:t>一线</w:t>
      </w:r>
      <w:r>
        <w:rPr>
          <w:rFonts w:ascii="Times New Roman" w:hAnsi="Times New Roman" w:eastAsia="仿宋_GB2312" w:cs="Times New Roman"/>
          <w:color w:val="auto"/>
          <w:sz w:val="32"/>
          <w:szCs w:val="32"/>
          <w:highlight w:val="none"/>
        </w:rPr>
        <w:t>：依托茶叶、林竹果蔬、道地中药材三个产业片区，串联起沿线景区和多个休闲观光园区，建设休闲养生与山林田园美景融合的牛背、泗坪、民建、五宪、严道、新添6乡镇（街道）农旅产业大环线。</w:t>
      </w:r>
      <w:r>
        <w:rPr>
          <w:rFonts w:ascii="Times New Roman" w:hAnsi="Times New Roman" w:eastAsia="仿宋_GB2312" w:cs="Times New Roman"/>
          <w:b/>
          <w:bCs/>
          <w:color w:val="auto"/>
          <w:sz w:val="32"/>
          <w:szCs w:val="32"/>
          <w:highlight w:val="none"/>
        </w:rPr>
        <w:t>十集群：</w:t>
      </w:r>
      <w:r>
        <w:rPr>
          <w:rFonts w:ascii="Times New Roman" w:hAnsi="Times New Roman" w:eastAsia="仿宋_GB2312" w:cs="Times New Roman"/>
          <w:color w:val="auto"/>
          <w:sz w:val="32"/>
          <w:szCs w:val="32"/>
          <w:highlight w:val="none"/>
        </w:rPr>
        <w:t>龙苍沟集群、牛背山集群、云峰山集群、兰家山集群和黑砂城集群等核心康养度假区集群；烟溪沟集群、新添古驿站集群、青杠村集群、经河度假村集群、宝峰彝族村寨等特色乡村旅游集群，带动区域休闲观光农业发展。</w:t>
      </w:r>
    </w:p>
    <w:p>
      <w:pPr>
        <w:snapToGrid w:val="0"/>
        <w:spacing w:line="560" w:lineRule="exact"/>
        <w:ind w:firstLine="642" w:firstLineChars="200"/>
        <w:rPr>
          <w:rFonts w:ascii="Times New Roman" w:hAnsi="Times New Roman" w:eastAsia="仿宋_GB2312" w:cs="Times New Roman"/>
          <w:b/>
          <w:bCs/>
          <w:color w:val="auto"/>
          <w:sz w:val="32"/>
          <w:szCs w:val="32"/>
          <w:highlight w:val="none"/>
        </w:rPr>
      </w:pPr>
      <w:bookmarkStart w:id="333" w:name="_Toc25832"/>
      <w:bookmarkStart w:id="334" w:name="_Toc27110"/>
      <w:bookmarkStart w:id="335" w:name="_Toc25736"/>
      <w:bookmarkStart w:id="336" w:name="_Toc14022"/>
      <w:r>
        <w:rPr>
          <w:rFonts w:ascii="Times New Roman" w:hAnsi="Times New Roman" w:eastAsia="仿宋_GB2312" w:cs="Times New Roman"/>
          <w:b/>
          <w:bCs/>
          <w:color w:val="auto"/>
          <w:sz w:val="32"/>
          <w:szCs w:val="32"/>
          <w:highlight w:val="none"/>
        </w:rPr>
        <w:t>加快乡村旅游基础设施建设</w:t>
      </w:r>
      <w:bookmarkEnd w:id="333"/>
      <w:bookmarkEnd w:id="334"/>
      <w:bookmarkEnd w:id="335"/>
      <w:bookmarkEnd w:id="336"/>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重点完善乡村旅游基础和乡村旅游公共服务体系，优先加强龙苍沟、牛背山、青龙等旅游接待重点区域的旅游基础设施，推进精品旅游村寨建设，提升村镇旅游服务水平和旅游接待能力。结合区域旅游需求，以“道路是硬件，节点是重点”为原则，充分利用山地景观优势，对景观节点、服务节点、休闲度假节点等，通过风景道、运动道、休闲道、文化道等方式串联结合，构建起从旅游集散中心到多样化服务平台的道路服务体系。加强旅游厕所生态化建设，降低旅游接待区域的生态压力，实现生态资源的长期可持续开发。推进旅游信息化试点建设，构建“政府数据+互联网数据+景区酒店数据”的一体化结构，带动乡村旅游的信息化、智慧化升级。</w:t>
      </w:r>
    </w:p>
    <w:p>
      <w:pPr>
        <w:snapToGrid w:val="0"/>
        <w:spacing w:line="560" w:lineRule="exact"/>
        <w:ind w:firstLine="642" w:firstLineChars="200"/>
        <w:rPr>
          <w:rFonts w:ascii="Times New Roman" w:hAnsi="Times New Roman" w:eastAsia="仿宋_GB2312" w:cs="Times New Roman"/>
          <w:color w:val="auto"/>
          <w:sz w:val="32"/>
          <w:szCs w:val="32"/>
          <w:highlight w:val="none"/>
        </w:rPr>
      </w:pPr>
      <w:bookmarkStart w:id="337" w:name="_Toc28796"/>
      <w:bookmarkStart w:id="338" w:name="_Toc9650"/>
      <w:bookmarkStart w:id="339" w:name="_Toc21982"/>
      <w:bookmarkStart w:id="340" w:name="_Toc11208"/>
      <w:r>
        <w:rPr>
          <w:rFonts w:ascii="Times New Roman" w:hAnsi="Times New Roman" w:eastAsia="仿宋_GB2312" w:cs="Times New Roman"/>
          <w:b/>
          <w:bCs/>
          <w:color w:val="auto"/>
          <w:sz w:val="32"/>
          <w:szCs w:val="32"/>
          <w:highlight w:val="none"/>
        </w:rPr>
        <w:t>推进农业与旅游深度融合发展</w:t>
      </w:r>
      <w:bookmarkEnd w:id="337"/>
      <w:bookmarkEnd w:id="338"/>
      <w:bookmarkEnd w:id="339"/>
      <w:bookmarkEnd w:id="340"/>
      <w:r>
        <w:rPr>
          <w:rFonts w:ascii="Times New Roman" w:hAnsi="Times New Roman" w:eastAsia="仿宋_GB2312" w:cs="Times New Roman"/>
          <w:b/>
          <w:bCs/>
          <w:color w:val="auto"/>
          <w:sz w:val="32"/>
          <w:szCs w:val="32"/>
          <w:highlight w:val="none"/>
        </w:rPr>
        <w:t>。</w:t>
      </w:r>
      <w:r>
        <w:rPr>
          <w:rFonts w:ascii="Times New Roman" w:hAnsi="Times New Roman" w:eastAsia="仿宋_GB2312" w:cs="Times New Roman"/>
          <w:color w:val="auto"/>
          <w:sz w:val="32"/>
          <w:szCs w:val="32"/>
          <w:highlight w:val="none"/>
        </w:rPr>
        <w:t>加快乡村旅游产业集群建设，重点打造乡村旅游十大集群，高标准规范农家乐和竹林人家等规划建设，完成300户集群点位农房外观风貌打造，积极发展农户充分利用闲置房屋新建农家乐，提升农家乐档次。推进各乡镇集镇及产业发展建设，提升打造一批现代农业生态观光园、森林康养基地、乡村旅游接待驿站，开办农业节庆活动，丰富旅游产业形态，狠抓景区创建打造，强化旅游业态支撑，统筹乡村旅游发展，发挥农旅结合优势。</w:t>
      </w:r>
    </w:p>
    <w:p>
      <w:pPr>
        <w:pStyle w:val="22"/>
        <w:snapToGrid w:val="0"/>
        <w:spacing w:before="156" w:beforeLines="50" w:after="156" w:afterLines="50" w:line="580" w:lineRule="exact"/>
        <w:ind w:firstLine="0" w:firstLineChars="0"/>
        <w:jc w:val="center"/>
        <w:rPr>
          <w:rFonts w:ascii="Times New Roman" w:hAnsi="Times New Roman" w:eastAsia="黑体"/>
          <w:b/>
          <w:bCs/>
          <w:color w:val="auto"/>
          <w:sz w:val="28"/>
          <w:szCs w:val="28"/>
          <w:highlight w:val="none"/>
          <w:shd w:val="clear" w:color="auto" w:fill="FFFFFF"/>
        </w:rPr>
      </w:pPr>
      <w:r>
        <w:rPr>
          <w:rFonts w:ascii="Times New Roman" w:hAnsi="Times New Roman" w:eastAsia="黑体"/>
          <w:b/>
          <w:bCs/>
          <w:color w:val="auto"/>
          <w:sz w:val="28"/>
          <w:szCs w:val="28"/>
          <w:highlight w:val="none"/>
          <w:shd w:val="clear" w:color="auto" w:fill="FFFFFF"/>
        </w:rPr>
        <w:t>专栏11 休闲农业和乡村旅游精品工程</w:t>
      </w:r>
    </w:p>
    <w:tbl>
      <w:tblPr>
        <w:tblStyle w:val="16"/>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8859" w:type="dxa"/>
            <w:vAlign w:val="center"/>
          </w:tcPr>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01 彝家风情民宿体验度假村</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新建、改造20亩左右冷水鱼养殖场，配套冷水鱼加工餐饮馆，改造民房</w:t>
            </w:r>
            <w:r>
              <w:rPr>
                <w:rFonts w:hint="eastAsia" w:ascii="Times New Roman" w:hAnsi="Times New Roman"/>
                <w:color w:val="auto"/>
                <w:sz w:val="28"/>
                <w:szCs w:val="28"/>
                <w:highlight w:val="none"/>
                <w:lang w:val="en-US" w:eastAsia="zh-CN"/>
              </w:rPr>
              <w:t>有</w:t>
            </w:r>
            <w:r>
              <w:rPr>
                <w:rFonts w:ascii="Times New Roman" w:hAnsi="Times New Roman"/>
                <w:color w:val="auto"/>
                <w:sz w:val="28"/>
                <w:szCs w:val="28"/>
                <w:highlight w:val="none"/>
              </w:rPr>
              <w:t>彝族特色民宿20余间，修建观景亭，打造彝族特色的农家乐、民族文化广场，提供美食、篝火晚会等彝族风情体验。</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02 官家山农旅融合示范园区</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以泗坪官家山猕猴桃、天麻基地和荥河红星村黄金茶基地为基础，改造提升猕猴桃基地500亩、茶叶基地2500亩、天麻仿野生种植基地100亩，开展种养绿色循环发展，打通基地间道路30公里，建设牛背</w:t>
            </w:r>
            <w:r>
              <w:rPr>
                <w:rFonts w:hint="eastAsia" w:ascii="Times New Roman" w:hAnsi="Times New Roman"/>
                <w:color w:val="auto"/>
                <w:sz w:val="28"/>
                <w:szCs w:val="28"/>
                <w:highlight w:val="none"/>
                <w:lang w:val="en-US" w:eastAsia="zh-CN"/>
              </w:rPr>
              <w:t>山</w:t>
            </w:r>
            <w:r>
              <w:rPr>
                <w:rFonts w:ascii="Times New Roman" w:hAnsi="Times New Roman"/>
                <w:color w:val="auto"/>
                <w:sz w:val="28"/>
                <w:szCs w:val="28"/>
                <w:highlight w:val="none"/>
              </w:rPr>
              <w:t>驿站，打造集休闲避暑、观光体验、森林康养、生态美食等为一体的农旅融合综合示范区。</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03 兰家山兰花产业园</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建兰花主题公园、兰花品种组培实验室、炼苗基地、兰花品鉴园、兰花科普园、采摘体验园等，配套建设观光游步道</w:t>
            </w:r>
            <w:r>
              <w:rPr>
                <w:rFonts w:hint="eastAsia" w:ascii="Times New Roman" w:hAnsi="Times New Roman"/>
                <w:color w:val="auto"/>
                <w:sz w:val="28"/>
                <w:szCs w:val="28"/>
                <w:highlight w:val="none"/>
                <w:lang w:eastAsia="zh-CN"/>
              </w:rPr>
              <w:t>、</w:t>
            </w:r>
            <w:r>
              <w:rPr>
                <w:rFonts w:ascii="Times New Roman" w:hAnsi="Times New Roman"/>
                <w:color w:val="auto"/>
                <w:sz w:val="28"/>
                <w:szCs w:val="28"/>
                <w:highlight w:val="none"/>
              </w:rPr>
              <w:t>观光亭等。</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04 美丽渔村</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在荥河镇苦蒿沟打造以冷水鱼产业为主的康养休闲美丽渔村，新建冷水鱼鱼苗繁育研究所、梯次活水养鱼区、鱼疗足浴养生区、休闲垂钓自助露营区、生鲜加工区、森林康养区、泡桐岗红色文化教育基地、山地赛车环行道、峡谷漂流，配套相关旅游设施、节点亮点打造等。</w:t>
            </w:r>
          </w:p>
        </w:tc>
      </w:tr>
    </w:tbl>
    <w:p>
      <w:pPr>
        <w:adjustRightInd w:val="0"/>
        <w:snapToGrid w:val="0"/>
        <w:spacing w:line="560" w:lineRule="exact"/>
        <w:jc w:val="center"/>
        <w:rPr>
          <w:rFonts w:ascii="Times New Roman" w:hAnsi="Times New Roman" w:eastAsia="黑体" w:cs="Times New Roman"/>
          <w:color w:val="auto"/>
          <w:sz w:val="32"/>
          <w:highlight w:val="none"/>
        </w:rPr>
        <w:sectPr>
          <w:type w:val="continuous"/>
          <w:pgSz w:w="11906" w:h="16838"/>
          <w:pgMar w:top="1440" w:right="1797" w:bottom="1440" w:left="1797" w:header="851" w:footer="992" w:gutter="0"/>
          <w:cols w:space="425" w:num="1"/>
          <w:docGrid w:type="lines" w:linePitch="312" w:charSpace="0"/>
        </w:sectPr>
      </w:pPr>
    </w:p>
    <w:p>
      <w:pPr>
        <w:numPr>
          <w:ilvl w:val="0"/>
          <w:numId w:val="1"/>
        </w:numPr>
        <w:spacing w:line="620" w:lineRule="exact"/>
        <w:jc w:val="center"/>
        <w:outlineLvl w:val="0"/>
        <w:rPr>
          <w:rFonts w:ascii="Times New Roman" w:hAnsi="Times New Roman" w:eastAsia="方正小标宋简体" w:cs="Times New Roman"/>
          <w:b/>
          <w:bCs/>
          <w:color w:val="auto"/>
          <w:sz w:val="44"/>
          <w:szCs w:val="44"/>
          <w:highlight w:val="none"/>
        </w:rPr>
      </w:pPr>
      <w:bookmarkStart w:id="341" w:name="_Toc956"/>
      <w:bookmarkStart w:id="342" w:name="_Toc29523"/>
      <w:bookmarkStart w:id="343" w:name="_Toc5722"/>
      <w:bookmarkStart w:id="344" w:name="_Toc75731155"/>
      <w:r>
        <w:rPr>
          <w:rFonts w:ascii="Times New Roman" w:hAnsi="Times New Roman" w:eastAsia="方正小标宋简体" w:cs="Times New Roman"/>
          <w:b/>
          <w:bCs/>
          <w:color w:val="auto"/>
          <w:sz w:val="44"/>
          <w:szCs w:val="44"/>
          <w:highlight w:val="none"/>
        </w:rPr>
        <w:t>夯实产业发展基础，增强农业综合生产能力</w:t>
      </w:r>
      <w:bookmarkEnd w:id="341"/>
      <w:bookmarkEnd w:id="342"/>
      <w:bookmarkEnd w:id="343"/>
      <w:bookmarkEnd w:id="344"/>
    </w:p>
    <w:p>
      <w:pPr>
        <w:spacing w:line="620" w:lineRule="exact"/>
        <w:ind w:firstLine="640" w:firstLineChars="200"/>
        <w:rPr>
          <w:rFonts w:ascii="Times New Roman" w:hAnsi="Times New Roman" w:eastAsia="仿宋_GB2312" w:cs="Times New Roman"/>
          <w:color w:val="auto"/>
          <w:sz w:val="32"/>
          <w:szCs w:val="32"/>
          <w:highlight w:val="none"/>
        </w:rPr>
      </w:pPr>
    </w:p>
    <w:p>
      <w:pPr>
        <w:spacing w:line="62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坚决扛稳粮食安全重任，</w:t>
      </w:r>
      <w:r>
        <w:rPr>
          <w:rFonts w:hint="eastAsia" w:ascii="Times New Roman" w:hAnsi="Times New Roman" w:eastAsia="仿宋_GB2312" w:cs="Times New Roman"/>
          <w:color w:val="auto"/>
          <w:sz w:val="32"/>
          <w:szCs w:val="32"/>
          <w:highlight w:val="none"/>
        </w:rPr>
        <w:t>提升现代农业智能物流装备</w:t>
      </w:r>
      <w:r>
        <w:rPr>
          <w:rFonts w:ascii="Times New Roman" w:hAnsi="Times New Roman" w:eastAsia="仿宋_GB2312" w:cs="Times New Roman"/>
          <w:color w:val="auto"/>
          <w:sz w:val="32"/>
          <w:szCs w:val="32"/>
          <w:highlight w:val="none"/>
        </w:rPr>
        <w:t>，加大农田</w:t>
      </w:r>
      <w:r>
        <w:rPr>
          <w:rFonts w:hint="eastAsia" w:ascii="Times New Roman" w:hAnsi="Times New Roman" w:eastAsia="仿宋_GB2312" w:cs="Times New Roman"/>
          <w:color w:val="auto"/>
          <w:sz w:val="32"/>
          <w:szCs w:val="32"/>
          <w:highlight w:val="none"/>
        </w:rPr>
        <w:t>水利</w:t>
      </w:r>
      <w:r>
        <w:rPr>
          <w:rFonts w:ascii="Times New Roman" w:hAnsi="Times New Roman" w:eastAsia="仿宋_GB2312" w:cs="Times New Roman"/>
          <w:color w:val="auto"/>
          <w:sz w:val="32"/>
          <w:szCs w:val="32"/>
          <w:highlight w:val="none"/>
        </w:rPr>
        <w:t>建设力度，切实增强</w:t>
      </w:r>
      <w:r>
        <w:rPr>
          <w:rFonts w:hint="eastAsia" w:ascii="Times New Roman" w:hAnsi="Times New Roman" w:eastAsia="仿宋_GB2312" w:cs="Times New Roman"/>
          <w:color w:val="auto"/>
          <w:sz w:val="32"/>
          <w:szCs w:val="32"/>
          <w:highlight w:val="none"/>
        </w:rPr>
        <w:t>农业</w:t>
      </w:r>
      <w:r>
        <w:rPr>
          <w:rFonts w:ascii="Times New Roman" w:hAnsi="Times New Roman" w:eastAsia="仿宋_GB2312" w:cs="Times New Roman"/>
          <w:color w:val="auto"/>
          <w:sz w:val="32"/>
          <w:szCs w:val="32"/>
          <w:highlight w:val="none"/>
        </w:rPr>
        <w:t>综合生产能力，保障</w:t>
      </w:r>
      <w:r>
        <w:rPr>
          <w:rFonts w:hint="eastAsia" w:ascii="Times New Roman" w:hAnsi="Times New Roman" w:eastAsia="仿宋_GB2312" w:cs="Times New Roman"/>
          <w:color w:val="auto"/>
          <w:sz w:val="32"/>
          <w:szCs w:val="32"/>
          <w:highlight w:val="none"/>
        </w:rPr>
        <w:t>农</w:t>
      </w:r>
      <w:r>
        <w:rPr>
          <w:rFonts w:ascii="Times New Roman" w:hAnsi="Times New Roman" w:eastAsia="仿宋_GB2312" w:cs="Times New Roman"/>
          <w:color w:val="auto"/>
          <w:sz w:val="32"/>
          <w:szCs w:val="32"/>
          <w:highlight w:val="none"/>
        </w:rPr>
        <w:t>产品供给安全高效。</w:t>
      </w:r>
    </w:p>
    <w:p>
      <w:pPr>
        <w:pStyle w:val="4"/>
        <w:keepLines w:val="0"/>
        <w:numPr>
          <w:ilvl w:val="1"/>
          <w:numId w:val="4"/>
        </w:numPr>
        <w:spacing w:before="312" w:beforeLines="100" w:after="312" w:afterLines="100" w:line="620" w:lineRule="exact"/>
        <w:jc w:val="center"/>
        <w:rPr>
          <w:rFonts w:ascii="Times New Roman" w:hAnsi="Times New Roman" w:cs="Times New Roman"/>
          <w:b/>
          <w:bCs/>
          <w:color w:val="auto"/>
          <w:highlight w:val="none"/>
        </w:rPr>
      </w:pPr>
      <w:bookmarkStart w:id="345" w:name="_Toc75731156"/>
      <w:bookmarkEnd w:id="345"/>
      <w:bookmarkStart w:id="346" w:name="_Toc9896"/>
      <w:bookmarkStart w:id="347" w:name="_Toc20125"/>
      <w:bookmarkStart w:id="348" w:name="_Toc10814"/>
      <w:bookmarkStart w:id="349" w:name="_Toc75731157"/>
      <w:r>
        <w:rPr>
          <w:rFonts w:ascii="Times New Roman" w:hAnsi="Times New Roman" w:cs="Times New Roman"/>
          <w:b/>
          <w:bCs/>
          <w:color w:val="auto"/>
          <w:highlight w:val="none"/>
        </w:rPr>
        <w:t>实施现代农业装备水平提升行动</w:t>
      </w:r>
      <w:bookmarkEnd w:id="346"/>
      <w:bookmarkEnd w:id="347"/>
      <w:bookmarkEnd w:id="348"/>
      <w:bookmarkEnd w:id="349"/>
    </w:p>
    <w:p>
      <w:pPr>
        <w:pStyle w:val="22"/>
        <w:snapToGrid w:val="0"/>
        <w:spacing w:line="560" w:lineRule="exact"/>
        <w:ind w:firstLine="643"/>
        <w:rPr>
          <w:rFonts w:ascii="Times New Roman" w:hAnsi="Times New Roman"/>
          <w:color w:val="auto"/>
          <w:szCs w:val="32"/>
          <w:highlight w:val="none"/>
        </w:rPr>
      </w:pPr>
      <w:r>
        <w:rPr>
          <w:rFonts w:ascii="Times New Roman" w:hAnsi="Times New Roman"/>
          <w:color w:val="auto"/>
          <w:szCs w:val="32"/>
          <w:highlight w:val="none"/>
        </w:rPr>
        <w:t>围绕荥经县绿色（有机）现代农业的发展需要，实施“绿色农机”工程，</w:t>
      </w:r>
      <w:r>
        <w:rPr>
          <w:rFonts w:hint="eastAsia" w:ascii="Times New Roman" w:hAnsi="Times New Roman"/>
          <w:color w:val="auto"/>
          <w:szCs w:val="32"/>
          <w:highlight w:val="none"/>
        </w:rPr>
        <w:t>加快建设为农服务中心，</w:t>
      </w:r>
      <w:r>
        <w:rPr>
          <w:rFonts w:ascii="Times New Roman" w:hAnsi="Times New Roman"/>
          <w:color w:val="auto"/>
          <w:szCs w:val="32"/>
          <w:highlight w:val="none"/>
        </w:rPr>
        <w:t>推进农机装备和农业机械化转型升级。引进和推广适用于荥经县地形地貌的农机具，特别是适宜山地耕作的小农机具，加快地区茶叶、蔬菜、水果、中药材、水产养殖、采蜜等先进农机装备的引进和推广。以现代农业园区（基地）为实验示范，</w:t>
      </w:r>
      <w:r>
        <w:rPr>
          <w:rFonts w:hint="eastAsia" w:ascii="Times New Roman" w:hAnsi="Times New Roman"/>
          <w:color w:val="auto"/>
          <w:szCs w:val="32"/>
          <w:highlight w:val="none"/>
        </w:rPr>
        <w:t>引导</w:t>
      </w:r>
      <w:r>
        <w:rPr>
          <w:rFonts w:ascii="Times New Roman" w:hAnsi="Times New Roman"/>
          <w:color w:val="auto"/>
          <w:szCs w:val="32"/>
          <w:highlight w:val="none"/>
        </w:rPr>
        <w:t>建设一批主要农作物生产全程机械化示范基地</w:t>
      </w:r>
      <w:r>
        <w:rPr>
          <w:rFonts w:hint="eastAsia" w:ascii="Times New Roman" w:hAnsi="Times New Roman"/>
          <w:color w:val="auto"/>
          <w:szCs w:val="32"/>
          <w:highlight w:val="none"/>
        </w:rPr>
        <w:t>，</w:t>
      </w:r>
      <w:r>
        <w:rPr>
          <w:rFonts w:ascii="Times New Roman" w:hAnsi="Times New Roman"/>
          <w:color w:val="auto"/>
          <w:szCs w:val="32"/>
          <w:highlight w:val="none"/>
        </w:rPr>
        <w:t>推进农田水利设施、农产品加工储运、农机装备等基础设施信息化改造，推进农业智能生产和农业智慧经营相结合，推进全程全面</w:t>
      </w:r>
      <w:r>
        <w:rPr>
          <w:rFonts w:hint="eastAsia" w:ascii="Times New Roman" w:hAnsi="Times New Roman"/>
          <w:color w:val="auto"/>
          <w:szCs w:val="32"/>
          <w:highlight w:val="none"/>
        </w:rPr>
        <w:t>全程</w:t>
      </w:r>
      <w:r>
        <w:rPr>
          <w:rFonts w:ascii="Times New Roman" w:hAnsi="Times New Roman"/>
          <w:color w:val="auto"/>
          <w:szCs w:val="32"/>
          <w:highlight w:val="none"/>
        </w:rPr>
        <w:t>机械化发展，促进农机农艺高度融合，实现传统精耕细作、新一代信息技术与物质装备技术深度融合，开展“互联网+”农机作业示范。</w:t>
      </w:r>
    </w:p>
    <w:p>
      <w:pPr>
        <w:pStyle w:val="4"/>
        <w:keepLines w:val="0"/>
        <w:numPr>
          <w:ilvl w:val="1"/>
          <w:numId w:val="4"/>
        </w:numPr>
        <w:spacing w:before="312" w:beforeLines="100" w:after="312" w:afterLines="100" w:line="620" w:lineRule="exact"/>
        <w:jc w:val="center"/>
        <w:rPr>
          <w:rFonts w:ascii="Times New Roman" w:hAnsi="Times New Roman" w:cs="Times New Roman"/>
          <w:b/>
          <w:bCs/>
          <w:color w:val="auto"/>
          <w:highlight w:val="none"/>
        </w:rPr>
      </w:pPr>
      <w:bookmarkStart w:id="350" w:name="_Toc28432"/>
      <w:bookmarkStart w:id="351" w:name="_Toc26044"/>
      <w:bookmarkStart w:id="352" w:name="_Toc30033"/>
      <w:bookmarkStart w:id="353" w:name="_Toc75731158"/>
      <w:r>
        <w:rPr>
          <w:rFonts w:ascii="Times New Roman" w:hAnsi="Times New Roman" w:cs="Times New Roman"/>
          <w:b/>
          <w:bCs/>
          <w:color w:val="auto"/>
          <w:highlight w:val="none"/>
        </w:rPr>
        <w:t>实施农业烘干冷链物流体系健全行动</w:t>
      </w:r>
      <w:bookmarkEnd w:id="350"/>
      <w:bookmarkEnd w:id="351"/>
      <w:bookmarkEnd w:id="352"/>
      <w:bookmarkEnd w:id="353"/>
    </w:p>
    <w:p>
      <w:pPr>
        <w:pStyle w:val="22"/>
        <w:snapToGrid w:val="0"/>
        <w:spacing w:line="560" w:lineRule="exact"/>
        <w:ind w:firstLine="643"/>
        <w:rPr>
          <w:rFonts w:ascii="Times New Roman" w:hAnsi="Times New Roman"/>
          <w:color w:val="auto"/>
          <w:szCs w:val="32"/>
          <w:highlight w:val="none"/>
        </w:rPr>
      </w:pPr>
      <w:r>
        <w:rPr>
          <w:rFonts w:ascii="Times New Roman" w:hAnsi="Times New Roman"/>
          <w:color w:val="auto"/>
          <w:szCs w:val="32"/>
          <w:highlight w:val="none"/>
        </w:rPr>
        <w:t>着力培育一批具有较强综合实力的烘干冷链物流供应链服务企业和第三方物流平台企业</w:t>
      </w:r>
      <w:r>
        <w:rPr>
          <w:rFonts w:hint="eastAsia" w:ascii="Times New Roman" w:hAnsi="Times New Roman"/>
          <w:color w:val="auto"/>
          <w:szCs w:val="32"/>
          <w:highlight w:val="none"/>
        </w:rPr>
        <w:t>，</w:t>
      </w:r>
      <w:r>
        <w:rPr>
          <w:rFonts w:ascii="Times New Roman" w:hAnsi="Times New Roman"/>
          <w:color w:val="auto"/>
          <w:szCs w:val="32"/>
          <w:highlight w:val="none"/>
        </w:rPr>
        <w:t>完善农产品冷链物流枢纽网络和基础设施建设，在果蔬、茶叶、畜禽等产区就近建设移动式、节能型冷藏库，在生猪、牛羊、家禽等肉制品主产区建设移动式、节能型冷冻贮藏库，构建布局合理、覆盖广泛、功能完善、衔接顺畅、设施先进、高效运行的农产品烘干冷链物流体系</w:t>
      </w:r>
      <w:r>
        <w:rPr>
          <w:rFonts w:hint="eastAsia" w:ascii="Times New Roman" w:hAnsi="Times New Roman"/>
          <w:color w:val="auto"/>
          <w:szCs w:val="32"/>
          <w:highlight w:val="none"/>
        </w:rPr>
        <w:t>。</w:t>
      </w:r>
      <w:r>
        <w:rPr>
          <w:rFonts w:ascii="Times New Roman" w:hAnsi="Times New Roman"/>
          <w:color w:val="auto"/>
          <w:szCs w:val="32"/>
          <w:highlight w:val="none"/>
        </w:rPr>
        <w:t>鼓励行业协会、烘干冷链物流企业制定行业、企业标准。强化烘干冷链物流管理人才、技术人员和一线操作人员队伍建设。依托雅安川西大数据中心，建设农产品烘干冷链物流贮运信息综合服务平台。</w:t>
      </w:r>
    </w:p>
    <w:p>
      <w:pPr>
        <w:pStyle w:val="4"/>
        <w:keepLines w:val="0"/>
        <w:numPr>
          <w:ilvl w:val="1"/>
          <w:numId w:val="4"/>
        </w:numPr>
        <w:spacing w:before="312" w:beforeLines="100" w:after="312" w:afterLines="100" w:line="620" w:lineRule="exact"/>
        <w:jc w:val="center"/>
        <w:rPr>
          <w:rFonts w:ascii="Times New Roman" w:hAnsi="Times New Roman" w:cs="Times New Roman"/>
          <w:b/>
          <w:bCs/>
          <w:color w:val="auto"/>
          <w:highlight w:val="none"/>
        </w:rPr>
      </w:pPr>
      <w:bookmarkStart w:id="354" w:name="_Toc2676"/>
      <w:bookmarkStart w:id="355" w:name="_Toc75731159"/>
      <w:bookmarkStart w:id="356" w:name="_Toc16860"/>
      <w:bookmarkStart w:id="357" w:name="_Toc23078"/>
      <w:r>
        <w:rPr>
          <w:rFonts w:ascii="Times New Roman" w:hAnsi="Times New Roman" w:cs="Times New Roman"/>
          <w:b/>
          <w:bCs/>
          <w:color w:val="auto"/>
          <w:highlight w:val="none"/>
        </w:rPr>
        <w:t>提高粮食供给保障水平</w:t>
      </w:r>
      <w:bookmarkEnd w:id="354"/>
      <w:bookmarkEnd w:id="355"/>
      <w:bookmarkEnd w:id="356"/>
      <w:bookmarkEnd w:id="357"/>
    </w:p>
    <w:p>
      <w:pPr>
        <w:pStyle w:val="22"/>
        <w:snapToGrid w:val="0"/>
        <w:spacing w:line="560" w:lineRule="exact"/>
        <w:ind w:firstLine="640"/>
        <w:outlineLvl w:val="9"/>
        <w:rPr>
          <w:rFonts w:ascii="Times New Roman" w:hAnsi="Times New Roman"/>
          <w:color w:val="auto"/>
          <w:szCs w:val="32"/>
          <w:highlight w:val="none"/>
        </w:rPr>
      </w:pPr>
      <w:bookmarkStart w:id="358" w:name="_Toc29858"/>
      <w:bookmarkStart w:id="359" w:name="_Toc16147"/>
      <w:bookmarkStart w:id="360" w:name="_Toc7617"/>
      <w:bookmarkStart w:id="361" w:name="_Toc16437"/>
      <w:r>
        <w:rPr>
          <w:rFonts w:hint="eastAsia" w:ascii="Times New Roman" w:hAnsi="Times New Roman"/>
          <w:color w:val="auto"/>
          <w:szCs w:val="32"/>
          <w:highlight w:val="none"/>
        </w:rPr>
        <w:t>深入实施“藏粮于地、藏粮于技”战略，全面落实党政同责共抓粮食安全政治责任，</w:t>
      </w:r>
      <w:r>
        <w:rPr>
          <w:rFonts w:ascii="Times New Roman" w:hAnsi="Times New Roman"/>
          <w:color w:val="auto"/>
          <w:szCs w:val="32"/>
          <w:highlight w:val="none"/>
        </w:rPr>
        <w:t>严格实行耕地保护制度，强化永久基本农田特殊保护</w:t>
      </w:r>
      <w:r>
        <w:rPr>
          <w:rFonts w:hint="eastAsia" w:ascii="Times New Roman" w:hAnsi="Times New Roman"/>
          <w:color w:val="auto"/>
          <w:szCs w:val="32"/>
          <w:highlight w:val="none"/>
        </w:rPr>
        <w:t>，推进粮食生产功能区和重要农产品保护区建设，确保粮食可播种面积和产量只增不减。</w:t>
      </w:r>
      <w:bookmarkEnd w:id="358"/>
      <w:r>
        <w:rPr>
          <w:rFonts w:ascii="Times New Roman" w:hAnsi="Times New Roman"/>
          <w:color w:val="auto"/>
          <w:szCs w:val="32"/>
          <w:highlight w:val="none"/>
        </w:rPr>
        <w:t>以优质粮食工程等行动为主要抓手，</w:t>
      </w:r>
      <w:r>
        <w:rPr>
          <w:rFonts w:hint="eastAsia" w:ascii="Times New Roman" w:hAnsi="Times New Roman"/>
          <w:color w:val="auto"/>
          <w:szCs w:val="32"/>
          <w:highlight w:val="none"/>
        </w:rPr>
        <w:t>加快推进</w:t>
      </w:r>
      <w:r>
        <w:rPr>
          <w:rFonts w:ascii="Times New Roman" w:hAnsi="Times New Roman"/>
          <w:color w:val="auto"/>
          <w:szCs w:val="32"/>
          <w:highlight w:val="none"/>
        </w:rPr>
        <w:t>集中连片、旱涝保收、稳产高产、生态友好的</w:t>
      </w:r>
      <w:r>
        <w:rPr>
          <w:rFonts w:hint="eastAsia" w:ascii="Times New Roman" w:hAnsi="Times New Roman"/>
          <w:color w:val="auto"/>
          <w:szCs w:val="32"/>
          <w:highlight w:val="none"/>
        </w:rPr>
        <w:t>高标准农田建设，</w:t>
      </w:r>
      <w:r>
        <w:rPr>
          <w:rFonts w:ascii="Times New Roman" w:hAnsi="Times New Roman"/>
          <w:color w:val="auto"/>
          <w:szCs w:val="32"/>
          <w:highlight w:val="none"/>
        </w:rPr>
        <w:t>在泗坪乡、花滩镇、五宪镇和新添镇等粮油主产区</w:t>
      </w:r>
      <w:r>
        <w:rPr>
          <w:rFonts w:hint="eastAsia" w:ascii="Times New Roman" w:hAnsi="Times New Roman"/>
          <w:color w:val="auto"/>
          <w:szCs w:val="32"/>
          <w:highlight w:val="none"/>
        </w:rPr>
        <w:t>建设一批</w:t>
      </w:r>
      <w:r>
        <w:rPr>
          <w:rFonts w:ascii="Times New Roman" w:hAnsi="Times New Roman"/>
          <w:color w:val="auto"/>
          <w:szCs w:val="32"/>
          <w:highlight w:val="none"/>
        </w:rPr>
        <w:t>优质粮油保障基地，积极推进粮油绿色食品加工。</w:t>
      </w:r>
      <w:r>
        <w:rPr>
          <w:rFonts w:hint="eastAsia" w:ascii="Times New Roman" w:hAnsi="Times New Roman"/>
          <w:color w:val="auto"/>
          <w:szCs w:val="32"/>
          <w:highlight w:val="none"/>
        </w:rPr>
        <w:t>完善和落实粮食补贴、重要农资储备补贴政策，新增粮食补贴向粮食主产乡镇和新型经营主体倾斜</w:t>
      </w:r>
      <w:r>
        <w:rPr>
          <w:rFonts w:ascii="Times New Roman" w:hAnsi="Times New Roman"/>
          <w:color w:val="auto"/>
          <w:szCs w:val="32"/>
          <w:highlight w:val="none"/>
        </w:rPr>
        <w:t>。</w:t>
      </w:r>
      <w:r>
        <w:rPr>
          <w:rFonts w:hint="eastAsia" w:ascii="Times New Roman" w:hAnsi="Times New Roman"/>
          <w:color w:val="auto"/>
          <w:szCs w:val="32"/>
          <w:highlight w:val="none"/>
        </w:rPr>
        <w:t>开展厉行节约制止餐饮浪费系列行动。严格开展落实安全责任制考核。</w:t>
      </w:r>
    </w:p>
    <w:bookmarkEnd w:id="359"/>
    <w:bookmarkEnd w:id="360"/>
    <w:bookmarkEnd w:id="361"/>
    <w:p>
      <w:pPr>
        <w:pStyle w:val="4"/>
        <w:keepLines w:val="0"/>
        <w:numPr>
          <w:ilvl w:val="1"/>
          <w:numId w:val="4"/>
        </w:numPr>
        <w:spacing w:before="312" w:beforeLines="100" w:after="312" w:afterLines="100" w:line="620" w:lineRule="exact"/>
        <w:jc w:val="center"/>
        <w:rPr>
          <w:rFonts w:ascii="Times New Roman" w:hAnsi="Times New Roman" w:cs="Times New Roman"/>
          <w:b/>
          <w:bCs/>
          <w:color w:val="auto"/>
          <w:highlight w:val="none"/>
        </w:rPr>
      </w:pPr>
      <w:bookmarkStart w:id="362" w:name="_Toc5598"/>
      <w:bookmarkStart w:id="363" w:name="_Toc18177"/>
      <w:bookmarkStart w:id="364" w:name="_Toc11365"/>
      <w:bookmarkStart w:id="365" w:name="_Toc75731162"/>
      <w:r>
        <w:rPr>
          <w:rFonts w:ascii="Times New Roman" w:hAnsi="Times New Roman" w:cs="Times New Roman"/>
          <w:b/>
          <w:bCs/>
          <w:color w:val="auto"/>
          <w:highlight w:val="none"/>
        </w:rPr>
        <w:t>推进农田水利建设</w:t>
      </w:r>
      <w:bookmarkEnd w:id="362"/>
      <w:bookmarkEnd w:id="363"/>
      <w:bookmarkEnd w:id="364"/>
      <w:bookmarkEnd w:id="365"/>
    </w:p>
    <w:p>
      <w:pPr>
        <w:pStyle w:val="22"/>
        <w:snapToGrid w:val="0"/>
        <w:spacing w:line="560" w:lineRule="exact"/>
        <w:ind w:firstLine="643"/>
        <w:outlineLvl w:val="9"/>
        <w:rPr>
          <w:rFonts w:ascii="Times New Roman" w:hAnsi="Times New Roman" w:eastAsia="仿宋"/>
          <w:color w:val="auto"/>
          <w:szCs w:val="32"/>
          <w:highlight w:val="none"/>
        </w:rPr>
      </w:pPr>
      <w:r>
        <w:rPr>
          <w:rFonts w:ascii="Times New Roman" w:hAnsi="Times New Roman"/>
          <w:color w:val="auto"/>
          <w:szCs w:val="32"/>
          <w:highlight w:val="none"/>
        </w:rPr>
        <w:t>加快大中型灌区续建配套与节水改造步伐，加快农田水利灌溉工程和小微型水利设施的建设，实施小型农田水利、“五小水利”工程，逐步构建“塘、池、堰、渠配套，蓄、引、节、灌结合”的灌溉用水保障体系。对于山地区域的坡耕地，有序推进坡耕地水土流失综合治理，提升耕地质量。因地制宜</w:t>
      </w:r>
      <w:r>
        <w:rPr>
          <w:rFonts w:hint="eastAsia" w:ascii="Times New Roman" w:hAnsi="Times New Roman"/>
          <w:color w:val="auto"/>
          <w:szCs w:val="32"/>
          <w:highlight w:val="none"/>
        </w:rPr>
        <w:t>推广使用</w:t>
      </w:r>
      <w:r>
        <w:rPr>
          <w:rFonts w:ascii="Times New Roman" w:hAnsi="Times New Roman"/>
          <w:color w:val="auto"/>
          <w:szCs w:val="32"/>
          <w:highlight w:val="none"/>
        </w:rPr>
        <w:t>低压管道输水、喷灌、滴灌、微灌等高效节水灌溉技术</w:t>
      </w:r>
      <w:r>
        <w:rPr>
          <w:rFonts w:hint="eastAsia" w:ascii="Times New Roman" w:hAnsi="Times New Roman"/>
          <w:color w:val="auto"/>
          <w:szCs w:val="32"/>
          <w:highlight w:val="none"/>
        </w:rPr>
        <w:t>和</w:t>
      </w:r>
      <w:r>
        <w:rPr>
          <w:rFonts w:ascii="Times New Roman" w:hAnsi="Times New Roman"/>
          <w:color w:val="auto"/>
          <w:szCs w:val="32"/>
          <w:highlight w:val="none"/>
        </w:rPr>
        <w:t>节水型高效生态农业，实行地面节水灌溉技术、农艺节水灌溉技术、设施化节水灌溉技术与管理节水措施相结合办法，推行大田作物采用管灌、设施作物采用滴灌的灌溉方式，最大限度的节约灌溉用水。</w:t>
      </w:r>
    </w:p>
    <w:p>
      <w:pPr>
        <w:pStyle w:val="4"/>
        <w:keepLines w:val="0"/>
        <w:numPr>
          <w:ilvl w:val="1"/>
          <w:numId w:val="4"/>
        </w:numPr>
        <w:spacing w:before="312" w:beforeLines="100" w:after="312" w:afterLines="100" w:line="620" w:lineRule="exact"/>
        <w:jc w:val="center"/>
        <w:rPr>
          <w:rFonts w:ascii="Times New Roman" w:hAnsi="Times New Roman" w:cs="Times New Roman"/>
          <w:b/>
          <w:bCs/>
          <w:color w:val="auto"/>
          <w:highlight w:val="none"/>
        </w:rPr>
      </w:pPr>
      <w:bookmarkStart w:id="366" w:name="_Toc29764"/>
      <w:bookmarkStart w:id="367" w:name="_Toc6626"/>
      <w:bookmarkStart w:id="368" w:name="_Toc17855"/>
      <w:bookmarkStart w:id="369" w:name="_Toc75731163"/>
      <w:r>
        <w:rPr>
          <w:rFonts w:ascii="Times New Roman" w:hAnsi="Times New Roman" w:cs="Times New Roman"/>
          <w:b/>
          <w:bCs/>
          <w:color w:val="auto"/>
          <w:highlight w:val="none"/>
        </w:rPr>
        <w:t>加快数字农业建设</w:t>
      </w:r>
      <w:bookmarkEnd w:id="366"/>
      <w:bookmarkEnd w:id="367"/>
      <w:bookmarkEnd w:id="368"/>
      <w:bookmarkEnd w:id="369"/>
    </w:p>
    <w:p>
      <w:pPr>
        <w:pStyle w:val="22"/>
        <w:snapToGrid w:val="0"/>
        <w:spacing w:line="560" w:lineRule="exact"/>
        <w:ind w:firstLine="643"/>
        <w:outlineLvl w:val="9"/>
        <w:rPr>
          <w:rFonts w:ascii="Times New Roman" w:hAnsi="Times New Roman"/>
          <w:color w:val="auto"/>
          <w:szCs w:val="32"/>
          <w:highlight w:val="none"/>
        </w:rPr>
      </w:pPr>
      <w:bookmarkStart w:id="370" w:name="_Toc16899"/>
      <w:bookmarkStart w:id="371" w:name="_Toc30207"/>
      <w:bookmarkStart w:id="372" w:name="_Toc28786"/>
      <w:bookmarkStart w:id="373" w:name="_Toc10657"/>
      <w:r>
        <w:rPr>
          <w:rFonts w:ascii="Times New Roman" w:hAnsi="Times New Roman"/>
          <w:color w:val="auto"/>
          <w:szCs w:val="32"/>
          <w:highlight w:val="none"/>
        </w:rPr>
        <w:t>推进智慧农业工程，发展数字农情，利用卫星遥感、地面物联网等手段，针对茶叶、中药、林竹等荥经县优势特色产业各环节特点</w:t>
      </w:r>
      <w:r>
        <w:rPr>
          <w:rFonts w:hint="eastAsia" w:ascii="Times New Roman" w:hAnsi="Times New Roman"/>
          <w:color w:val="auto"/>
          <w:szCs w:val="32"/>
          <w:highlight w:val="none"/>
        </w:rPr>
        <w:t>，</w:t>
      </w:r>
      <w:r>
        <w:rPr>
          <w:rFonts w:ascii="Times New Roman" w:hAnsi="Times New Roman"/>
          <w:color w:val="auto"/>
          <w:szCs w:val="32"/>
          <w:highlight w:val="none"/>
        </w:rPr>
        <w:t>建设环境控制、水肥药精准施用、饲饵料精准投喂等农机智能作业与调度监控系统，推进农业种养信息化。</w:t>
      </w:r>
      <w:bookmarkEnd w:id="370"/>
      <w:bookmarkEnd w:id="371"/>
      <w:bookmarkEnd w:id="372"/>
      <w:bookmarkEnd w:id="373"/>
      <w:r>
        <w:rPr>
          <w:rFonts w:hint="eastAsia" w:ascii="Times New Roman" w:hAnsi="Times New Roman"/>
          <w:b w:val="0"/>
          <w:bCs w:val="0"/>
          <w:color w:val="auto"/>
          <w:szCs w:val="32"/>
          <w:highlight w:val="none"/>
        </w:rPr>
        <w:t>依托现有普查数据新建</w:t>
      </w:r>
      <w:r>
        <w:rPr>
          <w:rFonts w:hint="eastAsia" w:ascii="Times New Roman" w:hAnsi="Times New Roman"/>
          <w:color w:val="auto"/>
          <w:szCs w:val="32"/>
          <w:highlight w:val="none"/>
        </w:rPr>
        <w:t>耕</w:t>
      </w:r>
      <w:r>
        <w:rPr>
          <w:rFonts w:ascii="Times New Roman" w:hAnsi="Times New Roman"/>
          <w:color w:val="auto"/>
          <w:szCs w:val="32"/>
          <w:highlight w:val="none"/>
        </w:rPr>
        <w:t>地基本信息数据库，</w:t>
      </w:r>
      <w:r>
        <w:rPr>
          <w:rFonts w:hint="eastAsia" w:ascii="Times New Roman" w:hAnsi="Times New Roman"/>
          <w:color w:val="auto"/>
          <w:szCs w:val="32"/>
          <w:highlight w:val="none"/>
        </w:rPr>
        <w:t>包括</w:t>
      </w:r>
      <w:r>
        <w:rPr>
          <w:rFonts w:ascii="Times New Roman" w:hAnsi="Times New Roman"/>
          <w:color w:val="auto"/>
          <w:szCs w:val="32"/>
          <w:highlight w:val="none"/>
        </w:rPr>
        <w:t>基本地块权属、面积、空间分布、质量、种植养殖类型等大数据。构建重要农业种质资源数据库，推进种质资源的数字化动态监测、信息化监督管理。深度发掘优异种质、优异基因，构建分子指纹图谱库，为品种选育、产业发展、行业监管提供大数据支持。鼓励发展众筹农业、定制农业等基于互联网的新业态，创新发展共享农业、云农场等网络经营模式。推进农产品生产、标识标准化，农产品可溯化，实现农产品质量安全管控全程化。</w:t>
      </w:r>
    </w:p>
    <w:p>
      <w:pPr>
        <w:pStyle w:val="4"/>
        <w:keepLines w:val="0"/>
        <w:numPr>
          <w:ilvl w:val="1"/>
          <w:numId w:val="4"/>
        </w:numPr>
        <w:spacing w:before="312" w:beforeLines="100" w:after="312" w:afterLines="100" w:line="620" w:lineRule="exact"/>
        <w:jc w:val="center"/>
        <w:rPr>
          <w:rFonts w:ascii="Times New Roman" w:hAnsi="Times New Roman" w:cs="Times New Roman"/>
          <w:b/>
          <w:bCs/>
          <w:color w:val="auto"/>
          <w:highlight w:val="none"/>
        </w:rPr>
      </w:pPr>
      <w:bookmarkStart w:id="374" w:name="_Toc3248"/>
      <w:bookmarkStart w:id="375" w:name="_Toc18236"/>
      <w:bookmarkStart w:id="376" w:name="_Toc6645"/>
      <w:bookmarkStart w:id="377" w:name="_Toc75731164"/>
      <w:r>
        <w:rPr>
          <w:rFonts w:ascii="Times New Roman" w:hAnsi="Times New Roman" w:cs="Times New Roman"/>
          <w:b/>
          <w:bCs/>
          <w:color w:val="auto"/>
          <w:highlight w:val="none"/>
        </w:rPr>
        <w:t>强化农业科技支撑</w:t>
      </w:r>
      <w:bookmarkEnd w:id="374"/>
      <w:bookmarkEnd w:id="375"/>
      <w:bookmarkEnd w:id="376"/>
      <w:bookmarkEnd w:id="377"/>
    </w:p>
    <w:p>
      <w:pPr>
        <w:pStyle w:val="22"/>
        <w:snapToGrid w:val="0"/>
        <w:spacing w:line="560" w:lineRule="exact"/>
        <w:ind w:firstLine="643"/>
        <w:outlineLvl w:val="9"/>
        <w:rPr>
          <w:rFonts w:ascii="Times New Roman" w:hAnsi="Times New Roman"/>
          <w:color w:val="auto"/>
          <w:szCs w:val="32"/>
          <w:highlight w:val="none"/>
        </w:rPr>
      </w:pPr>
      <w:r>
        <w:rPr>
          <w:rFonts w:ascii="Times New Roman" w:hAnsi="Times New Roman"/>
          <w:color w:val="auto"/>
          <w:szCs w:val="32"/>
          <w:highlight w:val="none"/>
        </w:rPr>
        <w:t>统筹协调各类农业科技资源，</w:t>
      </w:r>
      <w:r>
        <w:rPr>
          <w:rFonts w:hint="eastAsia" w:ascii="Times New Roman" w:hAnsi="Times New Roman"/>
          <w:color w:val="auto"/>
          <w:szCs w:val="32"/>
          <w:highlight w:val="none"/>
        </w:rPr>
        <w:t>深化</w:t>
      </w:r>
      <w:r>
        <w:rPr>
          <w:rFonts w:ascii="Times New Roman" w:hAnsi="Times New Roman"/>
          <w:color w:val="auto"/>
          <w:szCs w:val="32"/>
          <w:highlight w:val="none"/>
        </w:rPr>
        <w:t>与省农科院、四川农业大学等科研院校合作，</w:t>
      </w:r>
      <w:r>
        <w:rPr>
          <w:rFonts w:hint="eastAsia" w:ascii="Times New Roman" w:hAnsi="Times New Roman"/>
          <w:color w:val="auto"/>
          <w:szCs w:val="32"/>
          <w:highlight w:val="none"/>
        </w:rPr>
        <w:t>协同共建</w:t>
      </w:r>
      <w:r>
        <w:rPr>
          <w:rFonts w:ascii="Times New Roman" w:hAnsi="Times New Roman"/>
          <w:color w:val="auto"/>
          <w:szCs w:val="32"/>
          <w:highlight w:val="none"/>
        </w:rPr>
        <w:t>孵化平台</w:t>
      </w:r>
      <w:r>
        <w:rPr>
          <w:rFonts w:hint="eastAsia" w:ascii="Times New Roman" w:hAnsi="Times New Roman"/>
          <w:color w:val="auto"/>
          <w:szCs w:val="32"/>
          <w:highlight w:val="none"/>
        </w:rPr>
        <w:t>，加快</w:t>
      </w:r>
      <w:r>
        <w:rPr>
          <w:rFonts w:ascii="Times New Roman" w:hAnsi="Times New Roman"/>
          <w:color w:val="auto"/>
          <w:szCs w:val="32"/>
          <w:highlight w:val="none"/>
        </w:rPr>
        <w:t>引进和孵化适合荥经县自然地理条件的优质农产品新品种。着重围绕制约荥经县农业发展的关键技术问题，在良种培育、疫病防控、污染防治、循环农业等方面实施科技专项攻关行动，创新一批实用性强的技术成果。开展农业园区科技提质增效行动，支持各类标准化产业基地建设，加快农业科技的普及。实施农技推广体系改革建设项目，探索建立“创新团队+基层农技推广体系+高素质农民培育”的新型农业科技服务模式，培育科技示范户1000户以上。强化科普宣传，组织专业技术人员，积极参加科技咨询、科普宣传活动30次以上，开展农民实用技术培训20000人次以上，同时发放技术手册资料，提高全县广大农民群众科技文化素质。</w:t>
      </w:r>
    </w:p>
    <w:p>
      <w:pPr>
        <w:pStyle w:val="4"/>
        <w:keepLines w:val="0"/>
        <w:numPr>
          <w:ilvl w:val="1"/>
          <w:numId w:val="4"/>
        </w:numPr>
        <w:spacing w:before="312" w:beforeLines="100" w:after="312" w:afterLines="100" w:line="620" w:lineRule="exact"/>
        <w:jc w:val="center"/>
        <w:rPr>
          <w:rFonts w:ascii="Times New Roman" w:hAnsi="Times New Roman" w:cs="Times New Roman"/>
          <w:b/>
          <w:bCs/>
          <w:color w:val="auto"/>
          <w:highlight w:val="none"/>
        </w:rPr>
      </w:pPr>
      <w:bookmarkStart w:id="378" w:name="_Toc6617"/>
      <w:bookmarkStart w:id="379" w:name="_Toc2727"/>
      <w:bookmarkStart w:id="380" w:name="_Toc1561"/>
      <w:bookmarkStart w:id="381" w:name="_Toc75731165"/>
      <w:r>
        <w:rPr>
          <w:rFonts w:ascii="Times New Roman" w:hAnsi="Times New Roman" w:cs="Times New Roman"/>
          <w:b/>
          <w:bCs/>
          <w:color w:val="auto"/>
          <w:highlight w:val="none"/>
        </w:rPr>
        <w:t>增强农业防灾减灾能力</w:t>
      </w:r>
      <w:bookmarkEnd w:id="378"/>
      <w:bookmarkEnd w:id="379"/>
      <w:bookmarkEnd w:id="380"/>
      <w:bookmarkEnd w:id="381"/>
    </w:p>
    <w:p>
      <w:pPr>
        <w:pStyle w:val="22"/>
        <w:snapToGrid w:val="0"/>
        <w:spacing w:line="560" w:lineRule="exact"/>
        <w:ind w:firstLine="643"/>
        <w:outlineLvl w:val="9"/>
        <w:rPr>
          <w:rFonts w:ascii="Times New Roman" w:hAnsi="Times New Roman"/>
          <w:color w:val="auto"/>
          <w:szCs w:val="32"/>
          <w:highlight w:val="none"/>
        </w:rPr>
      </w:pPr>
      <w:r>
        <w:rPr>
          <w:rFonts w:ascii="Times New Roman" w:hAnsi="Times New Roman"/>
          <w:color w:val="auto"/>
          <w:szCs w:val="32"/>
          <w:highlight w:val="none"/>
        </w:rPr>
        <w:t>加强</w:t>
      </w:r>
      <w:r>
        <w:rPr>
          <w:rFonts w:hint="eastAsia" w:ascii="Times New Roman" w:hAnsi="Times New Roman"/>
          <w:color w:val="auto"/>
          <w:szCs w:val="32"/>
          <w:highlight w:val="none"/>
        </w:rPr>
        <w:t>农业</w:t>
      </w:r>
      <w:r>
        <w:rPr>
          <w:rFonts w:ascii="Times New Roman" w:hAnsi="Times New Roman"/>
          <w:color w:val="auto"/>
          <w:szCs w:val="32"/>
          <w:highlight w:val="none"/>
        </w:rPr>
        <w:t>气象信息服务站等基础设施和服务体系建设，增强农业气象灾害监测预警、预报服务、应对准备、应急处置能力，提高预报准确度，提升预警信息发布时效性。健全动植物重大疫情监测预警体系，强化种子种苗检疫监管，提升农作物重大病虫害防治水平，强化动物疫病可追溯制度建设，提高兽医工作服务水平，加强动物疫病区域化</w:t>
      </w:r>
      <w:r>
        <w:rPr>
          <w:rFonts w:hint="eastAsia" w:ascii="Times New Roman" w:hAnsi="Times New Roman"/>
          <w:color w:val="auto"/>
          <w:szCs w:val="32"/>
          <w:highlight w:val="none"/>
        </w:rPr>
        <w:t>、规范化</w:t>
      </w:r>
      <w:r>
        <w:rPr>
          <w:rFonts w:ascii="Times New Roman" w:hAnsi="Times New Roman"/>
          <w:color w:val="auto"/>
          <w:szCs w:val="32"/>
          <w:highlight w:val="none"/>
        </w:rPr>
        <w:t>。建设动物疫病预防控制中心实验室，配备满足动物疫病监测、检测、诊断需要的仪器设备选型。</w:t>
      </w:r>
      <w:r>
        <w:rPr>
          <w:rFonts w:hint="eastAsia" w:ascii="Times New Roman" w:hAnsi="Times New Roman"/>
          <w:color w:val="auto"/>
          <w:szCs w:val="32"/>
          <w:highlight w:val="none"/>
        </w:rPr>
        <w:t>加强农村自然灾害监测预报预警，实施防汛抗旱、防震减灾、防风抗潮等防灾减灾工程，加强病险水库除险加固。全面落实防汛抗旱地方行政首长负责制，加强防汛抗旱应急管理和森林草原防火体系建设，增强预警监测、应急处置和扑救能力。提高农业机械化抢种抢收抢烘服务能力。发挥农业保险灾后减损作用。</w:t>
      </w:r>
    </w:p>
    <w:p>
      <w:pPr>
        <w:pStyle w:val="22"/>
        <w:snapToGrid w:val="0"/>
        <w:spacing w:before="156" w:beforeLines="50" w:after="156" w:afterLines="50" w:line="580" w:lineRule="exact"/>
        <w:ind w:firstLine="0" w:firstLineChars="0"/>
        <w:jc w:val="center"/>
        <w:rPr>
          <w:rFonts w:ascii="Times New Roman" w:hAnsi="Times New Roman" w:eastAsia="黑体"/>
          <w:b/>
          <w:bCs/>
          <w:color w:val="auto"/>
          <w:sz w:val="28"/>
          <w:szCs w:val="28"/>
          <w:highlight w:val="none"/>
          <w:shd w:val="clear" w:color="auto" w:fill="FFFFFF"/>
        </w:rPr>
      </w:pPr>
      <w:r>
        <w:rPr>
          <w:rFonts w:ascii="Times New Roman" w:hAnsi="Times New Roman" w:eastAsia="黑体"/>
          <w:b/>
          <w:bCs/>
          <w:color w:val="auto"/>
          <w:sz w:val="28"/>
          <w:szCs w:val="28"/>
          <w:highlight w:val="none"/>
          <w:shd w:val="clear" w:color="auto" w:fill="FFFFFF"/>
        </w:rPr>
        <w:t>专栏12  农业发展基础设施建设工程</w:t>
      </w:r>
    </w:p>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01 优势农业农机化建设</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针对性开展荥经县优势特色产业的农机化建设，有步骤、因地制宜推广适用农业机械，无人机作业、针对性选择小型农业机械，推广节水、节肥、节药机械技术，推动全县农业机械化水平。</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02 农机服务能力提升建设</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以现代农业园区（基地）为实验示范，</w:t>
            </w:r>
            <w:r>
              <w:rPr>
                <w:rFonts w:hint="eastAsia" w:ascii="Times New Roman" w:hAnsi="Times New Roman"/>
                <w:color w:val="auto"/>
                <w:sz w:val="28"/>
                <w:szCs w:val="28"/>
                <w:highlight w:val="none"/>
              </w:rPr>
              <w:t>新建</w:t>
            </w:r>
            <w:r>
              <w:rPr>
                <w:rFonts w:ascii="Times New Roman" w:hAnsi="Times New Roman"/>
                <w:color w:val="auto"/>
                <w:sz w:val="28"/>
                <w:szCs w:val="28"/>
                <w:highlight w:val="none"/>
              </w:rPr>
              <w:t>建设“为农服务中心”3个，推进“互联网+”农机作业</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03 烘干冷链物流建设</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以一民农业有限公司为依托，新建、扩建中药材、果蔬、竹笋加工生产线，配套建设冷链物流园区，占地10000平方米，建设2550立方以上，净长6.3米宽9.6米高5.5米冷藏保鲜库10间，其中单间库容达到50吨，库内温度保持-18℃至0℃范围。积极利用农产品可追溯系统和物联网技术，推动冷链物流信息与冷链监控平台建设，形成农产品冷链物流体系资金流、物流、信息流的一体化。</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04 荥经县藏茶仓储物流及互联网销售</w:t>
            </w:r>
          </w:p>
          <w:p>
            <w:pPr>
              <w:pStyle w:val="22"/>
              <w:snapToGrid w:val="0"/>
              <w:spacing w:line="500" w:lineRule="exact"/>
              <w:ind w:left="307" w:leftChars="146" w:firstLine="0" w:firstLineChars="0"/>
              <w:rPr>
                <w:rFonts w:ascii="Times New Roman" w:hAnsi="Times New Roman" w:eastAsia="楷体_GB2312" w:cs="Times New Roman"/>
                <w:b/>
                <w:bCs/>
                <w:color w:val="auto"/>
                <w:sz w:val="28"/>
                <w:szCs w:val="28"/>
                <w:highlight w:val="none"/>
                <w:shd w:val="clear" w:color="auto" w:fill="FFFFFF"/>
              </w:rPr>
            </w:pPr>
            <w:r>
              <w:rPr>
                <w:rFonts w:hint="eastAsia" w:ascii="Times New Roman" w:hAnsi="Times New Roman"/>
                <w:color w:val="auto"/>
                <w:sz w:val="28"/>
                <w:szCs w:val="28"/>
                <w:highlight w:val="none"/>
              </w:rPr>
              <w:t>在新添镇建设1个智慧化茶叶仓储物流中心，配套相关设施设备，建设高山云雾茶数字交易平台、产品质量追溯平台、智慧化茶园管护平台等。</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05 高标准农田建设</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建设高标准农田</w:t>
            </w:r>
            <w:r>
              <w:rPr>
                <w:rFonts w:hint="eastAsia" w:ascii="Times New Roman" w:hAnsi="Times New Roman"/>
                <w:color w:val="auto"/>
                <w:sz w:val="28"/>
                <w:szCs w:val="28"/>
                <w:highlight w:val="none"/>
                <w:lang w:val="en-US" w:eastAsia="zh-CN"/>
              </w:rPr>
              <w:t>3.55</w:t>
            </w:r>
            <w:r>
              <w:rPr>
                <w:rFonts w:ascii="Times New Roman" w:hAnsi="Times New Roman"/>
                <w:color w:val="auto"/>
                <w:sz w:val="28"/>
                <w:szCs w:val="28"/>
                <w:highlight w:val="none"/>
              </w:rPr>
              <w:t>万亩；主要涉及主干道、干道、支路、排水渠、灌溉渠、山坪塘、蓄水池、有机肥等。</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06 绿色粮油基地建设</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科学规划、推进农机农艺融合，建成标准化水稻栽培基地、鲜食玉米基地、双低油菜基地和高山马铃薯基地3000亩；通过轮作，改良土壤、减少杂草和病虫害，建设轮作基地1000亩；全县粮油产量稳定在3.9万吨。</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07 粮食和物资储备物流中心</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建设总仓容2.5万吨的粮食储备仓5座，新建救灾物资储备普库、救灾物资储备专库、特殊储备仓库1000平，储油库2座，引进加工企业建设面条加工厂房、半成品库房等。</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08农业机械化生产道路改造提升建设</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提升改造现有机耕道20公里，增加错车道，现有路况条件成熟的道路拓宽至4.5米，修建边沟、截水沟、排水沟等，满足农田灌溉。</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09 水利基础设施建设</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构建完善的防洪减灾体系，推进农田水利基础设施建设，开展综合治理水土流失面积55平方公里，新增有效灌溉面积8万亩，灌溉利用系数达0.63；新增高效节水灌溉面积1万亩。</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10 农业设备智能化工程</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建设环境控制、水肥药精准施用、精准种植、精准饲喂、畜禽粪污处理和饵料精准投喂等农机智能作业与调度监控系统</w:t>
            </w:r>
            <w:r>
              <w:rPr>
                <w:rFonts w:hint="eastAsia" w:ascii="Times New Roman" w:hAnsi="Times New Roman"/>
                <w:color w:val="auto"/>
                <w:sz w:val="28"/>
                <w:szCs w:val="28"/>
                <w:highlight w:val="none"/>
              </w:rPr>
              <w:t>，支持新建农业智能化设备示范点</w:t>
            </w:r>
            <w:r>
              <w:rPr>
                <w:rFonts w:ascii="Times New Roman" w:hAnsi="Times New Roman"/>
                <w:color w:val="auto"/>
                <w:sz w:val="28"/>
                <w:szCs w:val="28"/>
                <w:highlight w:val="none"/>
              </w:rPr>
              <w:t>。</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11 动物疫病预防控制中心实验室建设</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进行改造及室内装饰装修，完善实施室设施，配备满足动物疫病监测、检测、诊断需要的仪器设备选型，新购置仪器设备100余台（套），添置新增检测人员办公设备、标准资料、质量体系文件等10余台(套)。</w:t>
            </w:r>
          </w:p>
        </w:tc>
      </w:tr>
    </w:tbl>
    <w:p>
      <w:pPr>
        <w:pStyle w:val="22"/>
        <w:adjustRightInd w:val="0"/>
        <w:snapToGrid w:val="0"/>
        <w:spacing w:line="560" w:lineRule="exact"/>
        <w:ind w:firstLine="0" w:firstLineChars="0"/>
        <w:rPr>
          <w:rFonts w:ascii="Times New Roman" w:hAnsi="Times New Roman" w:eastAsia="黑体"/>
          <w:color w:val="auto"/>
          <w:highlight w:val="none"/>
        </w:rPr>
        <w:sectPr>
          <w:pgSz w:w="11906" w:h="16838"/>
          <w:pgMar w:top="1440" w:right="1797" w:bottom="1440" w:left="1797" w:header="851" w:footer="992" w:gutter="0"/>
          <w:cols w:space="425" w:num="1"/>
          <w:docGrid w:type="lines" w:linePitch="312" w:charSpace="0"/>
        </w:sectPr>
      </w:pPr>
    </w:p>
    <w:p>
      <w:pPr>
        <w:numPr>
          <w:ilvl w:val="0"/>
          <w:numId w:val="1"/>
        </w:numPr>
        <w:spacing w:line="620" w:lineRule="exact"/>
        <w:jc w:val="center"/>
        <w:outlineLvl w:val="0"/>
        <w:rPr>
          <w:rFonts w:ascii="Times New Roman" w:hAnsi="Times New Roman" w:eastAsia="方正小标宋简体" w:cs="Times New Roman"/>
          <w:b/>
          <w:bCs/>
          <w:color w:val="auto"/>
          <w:sz w:val="44"/>
          <w:szCs w:val="44"/>
          <w:highlight w:val="none"/>
        </w:rPr>
      </w:pPr>
      <w:bookmarkStart w:id="382" w:name="_Toc75731166"/>
      <w:bookmarkStart w:id="383" w:name="_Toc13577"/>
      <w:bookmarkStart w:id="384" w:name="_Toc6025"/>
      <w:bookmarkStart w:id="385" w:name="_Toc16621"/>
      <w:r>
        <w:rPr>
          <w:rFonts w:ascii="Times New Roman" w:hAnsi="Times New Roman" w:eastAsia="方正小标宋简体" w:cs="Times New Roman"/>
          <w:b/>
          <w:bCs/>
          <w:color w:val="auto"/>
          <w:sz w:val="44"/>
          <w:szCs w:val="44"/>
          <w:highlight w:val="none"/>
        </w:rPr>
        <w:t>推动农民全面发展</w:t>
      </w:r>
      <w:r>
        <w:rPr>
          <w:rFonts w:hint="eastAsia" w:ascii="Times New Roman" w:hAnsi="Times New Roman" w:eastAsia="方正小标宋简体" w:cs="Times New Roman"/>
          <w:b/>
          <w:bCs/>
          <w:color w:val="auto"/>
          <w:sz w:val="44"/>
          <w:szCs w:val="44"/>
          <w:highlight w:val="none"/>
        </w:rPr>
        <w:t>，加快构建现代化经营体系</w:t>
      </w:r>
      <w:bookmarkEnd w:id="382"/>
      <w:bookmarkEnd w:id="383"/>
    </w:p>
    <w:p>
      <w:pPr>
        <w:pStyle w:val="4"/>
        <w:keepLines w:val="0"/>
        <w:numPr>
          <w:ilvl w:val="1"/>
          <w:numId w:val="5"/>
        </w:numPr>
        <w:spacing w:before="312" w:beforeLines="100" w:after="312" w:afterLines="100" w:line="620" w:lineRule="exact"/>
        <w:jc w:val="center"/>
        <w:rPr>
          <w:rFonts w:ascii="Times New Roman" w:hAnsi="Times New Roman" w:cs="Times New Roman"/>
          <w:b/>
          <w:bCs/>
          <w:color w:val="auto"/>
          <w:highlight w:val="none"/>
        </w:rPr>
      </w:pPr>
      <w:bookmarkStart w:id="386" w:name="_Toc75731167"/>
      <w:bookmarkStart w:id="387" w:name="_Toc4801"/>
      <w:r>
        <w:rPr>
          <w:rFonts w:hint="eastAsia" w:ascii="Times New Roman" w:hAnsi="Times New Roman" w:cs="Times New Roman"/>
          <w:b/>
          <w:bCs/>
          <w:color w:val="auto"/>
          <w:highlight w:val="none"/>
        </w:rPr>
        <w:t>加快</w:t>
      </w:r>
      <w:r>
        <w:rPr>
          <w:rFonts w:ascii="Times New Roman" w:hAnsi="Times New Roman" w:cs="Times New Roman"/>
          <w:b/>
          <w:bCs/>
          <w:color w:val="auto"/>
          <w:highlight w:val="none"/>
        </w:rPr>
        <w:t>培育高素质农民</w:t>
      </w:r>
      <w:bookmarkEnd w:id="386"/>
      <w:bookmarkEnd w:id="387"/>
    </w:p>
    <w:p>
      <w:pPr>
        <w:pStyle w:val="22"/>
        <w:snapToGrid w:val="0"/>
        <w:spacing w:line="560" w:lineRule="exact"/>
        <w:ind w:firstLine="640"/>
        <w:rPr>
          <w:rFonts w:ascii="Times New Roman" w:hAnsi="Times New Roman"/>
          <w:color w:val="auto"/>
          <w:szCs w:val="32"/>
          <w:highlight w:val="none"/>
        </w:rPr>
      </w:pPr>
      <w:r>
        <w:rPr>
          <w:rFonts w:ascii="Times New Roman" w:hAnsi="Times New Roman"/>
          <w:color w:val="auto"/>
          <w:szCs w:val="32"/>
          <w:highlight w:val="none"/>
        </w:rPr>
        <w:t>深入对接“4+4”产业发展需求，</w:t>
      </w:r>
      <w:r>
        <w:rPr>
          <w:rFonts w:hint="eastAsia" w:ascii="Times New Roman" w:hAnsi="Times New Roman"/>
          <w:color w:val="auto"/>
          <w:szCs w:val="32"/>
          <w:highlight w:val="none"/>
        </w:rPr>
        <w:t>深化</w:t>
      </w:r>
      <w:r>
        <w:rPr>
          <w:rFonts w:ascii="Times New Roman" w:hAnsi="Times New Roman"/>
          <w:color w:val="auto"/>
          <w:szCs w:val="32"/>
          <w:highlight w:val="none"/>
        </w:rPr>
        <w:t>与</w:t>
      </w:r>
      <w:r>
        <w:rPr>
          <w:rFonts w:hint="eastAsia" w:ascii="Times New Roman" w:hAnsi="Times New Roman"/>
          <w:color w:val="auto"/>
          <w:szCs w:val="32"/>
          <w:highlight w:val="none"/>
        </w:rPr>
        <w:t>四川</w:t>
      </w:r>
      <w:r>
        <w:rPr>
          <w:rFonts w:ascii="Times New Roman" w:hAnsi="Times New Roman"/>
          <w:color w:val="auto"/>
          <w:szCs w:val="32"/>
          <w:highlight w:val="none"/>
        </w:rPr>
        <w:t>农业</w:t>
      </w:r>
      <w:r>
        <w:rPr>
          <w:rFonts w:hint="eastAsia" w:ascii="Times New Roman" w:hAnsi="Times New Roman"/>
          <w:color w:val="auto"/>
          <w:szCs w:val="32"/>
          <w:highlight w:val="none"/>
        </w:rPr>
        <w:t>大学</w:t>
      </w:r>
      <w:r>
        <w:rPr>
          <w:rFonts w:ascii="Times New Roman" w:hAnsi="Times New Roman"/>
          <w:color w:val="auto"/>
          <w:szCs w:val="32"/>
          <w:highlight w:val="none"/>
        </w:rPr>
        <w:t>、龙头企业、农业公司、农民合作社等社会多方主体合作，</w:t>
      </w:r>
      <w:r>
        <w:rPr>
          <w:rFonts w:hint="eastAsia" w:ascii="Times New Roman" w:hAnsi="Times New Roman"/>
          <w:color w:val="auto"/>
          <w:szCs w:val="32"/>
          <w:highlight w:val="none"/>
        </w:rPr>
        <w:t>加快组建农民夜校，利用微信、微博等新媒体大力发展农业职业教育，</w:t>
      </w:r>
      <w:r>
        <w:rPr>
          <w:rFonts w:ascii="Times New Roman" w:hAnsi="Times New Roman"/>
          <w:color w:val="auto"/>
          <w:szCs w:val="32"/>
          <w:highlight w:val="none"/>
        </w:rPr>
        <w:t>建立高素质农民分类型、分产业、分等级制定培训标准，建立健全职业农民教育培训信息管理系统，探索分类建立高素质农民培训对象数据库，形成多元化的高素质农民培育体系</w:t>
      </w:r>
      <w:r>
        <w:rPr>
          <w:rFonts w:hint="eastAsia" w:ascii="Times New Roman" w:hAnsi="Times New Roman"/>
          <w:color w:val="auto"/>
          <w:szCs w:val="32"/>
          <w:highlight w:val="none"/>
        </w:rPr>
        <w:t>。</w:t>
      </w:r>
      <w:r>
        <w:rPr>
          <w:rFonts w:ascii="Times New Roman" w:hAnsi="Times New Roman"/>
          <w:color w:val="auto"/>
          <w:szCs w:val="32"/>
          <w:highlight w:val="none"/>
        </w:rPr>
        <w:t>分层分类实施农业经理人、新型农业经营主体带头人、农村实用人才和现代创业创新青年等的培育，提高农民科技文化素质，</w:t>
      </w:r>
      <w:r>
        <w:rPr>
          <w:rFonts w:hint="eastAsia" w:ascii="Times New Roman" w:hAnsi="Times New Roman"/>
          <w:color w:val="auto"/>
          <w:szCs w:val="32"/>
          <w:highlight w:val="none"/>
        </w:rPr>
        <w:t>培养一支有文化、懂技术、善经营、会管理的高素质农民队伍</w:t>
      </w:r>
      <w:r>
        <w:rPr>
          <w:rFonts w:ascii="Times New Roman" w:hAnsi="Times New Roman"/>
          <w:color w:val="auto"/>
          <w:szCs w:val="32"/>
          <w:highlight w:val="none"/>
        </w:rPr>
        <w:t>。</w:t>
      </w:r>
    </w:p>
    <w:p>
      <w:pPr>
        <w:pStyle w:val="4"/>
        <w:keepLines w:val="0"/>
        <w:numPr>
          <w:ilvl w:val="1"/>
          <w:numId w:val="5"/>
        </w:numPr>
        <w:snapToGrid w:val="0"/>
        <w:spacing w:before="312" w:beforeLines="100" w:after="312" w:afterLines="100" w:line="620" w:lineRule="exact"/>
        <w:ind w:firstLine="643"/>
        <w:jc w:val="center"/>
        <w:rPr>
          <w:rFonts w:ascii="Times New Roman" w:hAnsi="Times New Roman" w:cs="Times New Roman"/>
          <w:b/>
          <w:bCs/>
          <w:color w:val="auto"/>
          <w:szCs w:val="32"/>
          <w:highlight w:val="none"/>
        </w:rPr>
      </w:pPr>
      <w:bookmarkStart w:id="388" w:name="_Toc75731168"/>
      <w:bookmarkStart w:id="389" w:name="_Toc17908"/>
      <w:r>
        <w:rPr>
          <w:rFonts w:hint="eastAsia" w:ascii="Times New Roman" w:hAnsi="Times New Roman" w:cs="Times New Roman"/>
          <w:b/>
          <w:bCs/>
          <w:color w:val="auto"/>
          <w:highlight w:val="none"/>
        </w:rPr>
        <w:t>高质量发展家庭农场</w:t>
      </w:r>
      <w:bookmarkEnd w:id="388"/>
      <w:bookmarkEnd w:id="389"/>
    </w:p>
    <w:p>
      <w:pPr>
        <w:pStyle w:val="22"/>
        <w:snapToGrid w:val="0"/>
        <w:spacing w:line="560" w:lineRule="exact"/>
        <w:ind w:firstLine="640"/>
        <w:rPr>
          <w:rFonts w:ascii="Times New Roman" w:hAnsi="Times New Roman"/>
          <w:color w:val="auto"/>
          <w:szCs w:val="32"/>
          <w:highlight w:val="none"/>
        </w:rPr>
      </w:pPr>
      <w:r>
        <w:rPr>
          <w:rFonts w:hint="eastAsia" w:ascii="Times New Roman" w:hAnsi="Times New Roman"/>
          <w:color w:val="auto"/>
          <w:szCs w:val="32"/>
          <w:highlight w:val="none"/>
        </w:rPr>
        <w:t>健全建立家庭农场名录管理制度，完善纳入名录的条件和程序，引导广大农民和各类人才创办家庭农场。加大家庭农场示范创建力度，支持家庭农场扩量，开展示范家庭农场创建活动，鼓励农民工、高校毕业生、退役军人、科技人员、农村实用人才等创办领办家庭农场，树立一批可看可学的家庭农场发展标杆和榜样。强化家庭农场指导服务扶持，探索一套符合家庭农场特点的支持政策和系统推进家庭农场发展的政策体系、工作机制。积极引导家庭农场开展联合与合作，鼓励组建家庭农场协会或联盟</w:t>
      </w:r>
      <w:r>
        <w:rPr>
          <w:rFonts w:ascii="Times New Roman" w:hAnsi="Times New Roman"/>
          <w:color w:val="auto"/>
          <w:szCs w:val="32"/>
          <w:highlight w:val="none"/>
        </w:rPr>
        <w:t>。</w:t>
      </w:r>
    </w:p>
    <w:p>
      <w:pPr>
        <w:pStyle w:val="4"/>
        <w:keepLines w:val="0"/>
        <w:numPr>
          <w:ilvl w:val="1"/>
          <w:numId w:val="5"/>
        </w:numPr>
        <w:snapToGrid w:val="0"/>
        <w:spacing w:before="312" w:beforeLines="100" w:after="312" w:afterLines="100" w:line="620" w:lineRule="exact"/>
        <w:ind w:firstLine="643"/>
        <w:jc w:val="center"/>
        <w:rPr>
          <w:rFonts w:ascii="Times New Roman" w:hAnsi="Times New Roman" w:cs="Times New Roman"/>
          <w:b/>
          <w:bCs/>
          <w:color w:val="auto"/>
          <w:szCs w:val="32"/>
          <w:highlight w:val="none"/>
        </w:rPr>
      </w:pPr>
      <w:bookmarkStart w:id="390" w:name="_Toc24183"/>
      <w:bookmarkStart w:id="391" w:name="_Toc75731169"/>
      <w:r>
        <w:rPr>
          <w:rFonts w:hint="eastAsia" w:ascii="Times New Roman" w:hAnsi="Times New Roman" w:cs="Times New Roman"/>
          <w:b/>
          <w:bCs/>
          <w:color w:val="auto"/>
          <w:highlight w:val="none"/>
        </w:rPr>
        <w:t>规范发展农民合作社</w:t>
      </w:r>
      <w:bookmarkEnd w:id="390"/>
      <w:bookmarkEnd w:id="391"/>
    </w:p>
    <w:p>
      <w:pPr>
        <w:pStyle w:val="22"/>
        <w:snapToGrid w:val="0"/>
        <w:spacing w:line="560" w:lineRule="exact"/>
        <w:ind w:firstLine="640"/>
        <w:rPr>
          <w:rFonts w:ascii="Times New Roman" w:hAnsi="Times New Roman"/>
          <w:color w:val="auto"/>
          <w:szCs w:val="32"/>
          <w:highlight w:val="none"/>
        </w:rPr>
      </w:pPr>
      <w:r>
        <w:rPr>
          <w:rFonts w:hint="eastAsia" w:ascii="Times New Roman" w:hAnsi="Times New Roman"/>
          <w:color w:val="auto"/>
          <w:szCs w:val="32"/>
          <w:highlight w:val="none"/>
        </w:rPr>
        <w:t>指导农民合作社制定符合自身特点的章程，加强档案管理，实行合作社社务公开。增强农民合作社服务带动能力，带动成员开展连片种植、规模饲养，支持农民合作社加强产加销售服等关键环节能力建设，鼓励农民合作社延伸产业链条，参与农村基础上合适建设和运行管护。支持农民合作社依法自愿组建联合社，扩大合作规模，提升合作层次</w:t>
      </w:r>
      <w:r>
        <w:rPr>
          <w:rFonts w:ascii="Times New Roman" w:hAnsi="Times New Roman"/>
          <w:color w:val="auto"/>
          <w:szCs w:val="32"/>
          <w:highlight w:val="none"/>
        </w:rPr>
        <w:t>，着力构建新型基层供销合作社</w:t>
      </w:r>
      <w:r>
        <w:rPr>
          <w:rFonts w:hint="eastAsia" w:ascii="Times New Roman" w:hAnsi="Times New Roman"/>
          <w:color w:val="auto"/>
          <w:szCs w:val="32"/>
          <w:highlight w:val="none"/>
        </w:rPr>
        <w:t>。鼓励有条件的地方支持农民合作社聘请农业经理人。深入开展农民合作社质量提升整县推进试点。</w:t>
      </w:r>
    </w:p>
    <w:p>
      <w:pPr>
        <w:pStyle w:val="4"/>
        <w:keepLines w:val="0"/>
        <w:numPr>
          <w:ilvl w:val="1"/>
          <w:numId w:val="5"/>
        </w:numPr>
        <w:snapToGrid w:val="0"/>
        <w:spacing w:before="312" w:beforeLines="100" w:after="312" w:afterLines="100" w:line="620" w:lineRule="exact"/>
        <w:ind w:firstLine="643"/>
        <w:jc w:val="center"/>
        <w:rPr>
          <w:rFonts w:ascii="Times New Roman" w:hAnsi="Times New Roman" w:cs="Times New Roman"/>
          <w:b/>
          <w:bCs/>
          <w:color w:val="auto"/>
          <w:szCs w:val="32"/>
          <w:highlight w:val="none"/>
        </w:rPr>
      </w:pPr>
      <w:bookmarkStart w:id="392" w:name="_Toc30985"/>
      <w:bookmarkStart w:id="393" w:name="_Toc75731170"/>
      <w:r>
        <w:rPr>
          <w:rFonts w:hint="eastAsia" w:ascii="Times New Roman" w:hAnsi="Times New Roman" w:cs="Times New Roman"/>
          <w:b/>
          <w:bCs/>
          <w:color w:val="auto"/>
          <w:highlight w:val="none"/>
        </w:rPr>
        <w:t>做大做强龙头企业</w:t>
      </w:r>
      <w:bookmarkEnd w:id="392"/>
      <w:bookmarkEnd w:id="393"/>
    </w:p>
    <w:p>
      <w:pPr>
        <w:pStyle w:val="22"/>
        <w:snapToGrid w:val="0"/>
        <w:spacing w:line="560" w:lineRule="exact"/>
        <w:ind w:firstLine="640"/>
        <w:rPr>
          <w:rFonts w:ascii="Times New Roman" w:hAnsi="Times New Roman"/>
          <w:color w:val="auto"/>
          <w:szCs w:val="32"/>
          <w:highlight w:val="none"/>
        </w:rPr>
      </w:pPr>
      <w:r>
        <w:rPr>
          <w:rFonts w:ascii="Times New Roman" w:hAnsi="Times New Roman"/>
          <w:color w:val="auto"/>
          <w:szCs w:val="32"/>
          <w:highlight w:val="none"/>
        </w:rPr>
        <w:t>进一步完善政策支持，强化农业产业化龙头企业扶持和监管引导，引导和扶持一批现代农业、农产品加工业、旅游康养产业等行业的龙头企业，鼓励现有龙头企业通过兼并、重组、以商招商等方式做大做强，打造一批行业领军企业。</w:t>
      </w:r>
      <w:r>
        <w:rPr>
          <w:rFonts w:hint="eastAsia" w:ascii="Times New Roman" w:hAnsi="Times New Roman"/>
          <w:color w:val="auto"/>
          <w:szCs w:val="32"/>
          <w:highlight w:val="none"/>
        </w:rPr>
        <w:t>积极指导荥泰等农业产业化龙头企业申报国家、省级龙头企业，不断增强龙头企业生命力和辐射带动力。</w:t>
      </w:r>
      <w:r>
        <w:rPr>
          <w:rFonts w:ascii="Times New Roman" w:hAnsi="Times New Roman"/>
          <w:color w:val="auto"/>
          <w:szCs w:val="32"/>
          <w:highlight w:val="none"/>
        </w:rPr>
        <w:t>围绕林竹、茶叶、中药等特色产业组建农业产业化联合体，</w:t>
      </w:r>
      <w:r>
        <w:rPr>
          <w:rFonts w:hint="eastAsia" w:ascii="Times New Roman" w:hAnsi="Times New Roman"/>
          <w:color w:val="auto"/>
          <w:szCs w:val="32"/>
          <w:highlight w:val="none"/>
        </w:rPr>
        <w:t>实行动态管理，打通从农业生产向加工、流通、销售、旅游等二三产业环节连接的路径，推进农村一二三产业融合发展。</w:t>
      </w:r>
    </w:p>
    <w:p>
      <w:pPr>
        <w:pStyle w:val="22"/>
        <w:snapToGrid w:val="0"/>
        <w:spacing w:line="560" w:lineRule="exact"/>
        <w:ind w:firstLine="640"/>
        <w:rPr>
          <w:rFonts w:ascii="Times New Roman" w:hAnsi="Times New Roman"/>
          <w:color w:val="auto"/>
          <w:szCs w:val="32"/>
          <w:highlight w:val="none"/>
        </w:rPr>
      </w:pPr>
    </w:p>
    <w:p>
      <w:pPr>
        <w:pStyle w:val="4"/>
        <w:keepLines w:val="0"/>
        <w:numPr>
          <w:ilvl w:val="1"/>
          <w:numId w:val="5"/>
        </w:numPr>
        <w:spacing w:before="312" w:beforeLines="100" w:after="312" w:afterLines="100" w:line="620" w:lineRule="exact"/>
        <w:jc w:val="center"/>
        <w:rPr>
          <w:rFonts w:ascii="Times New Roman" w:hAnsi="Times New Roman" w:cs="Times New Roman"/>
          <w:b/>
          <w:bCs/>
          <w:color w:val="auto"/>
          <w:highlight w:val="none"/>
        </w:rPr>
      </w:pPr>
      <w:bookmarkStart w:id="394" w:name="_Toc75731171"/>
      <w:bookmarkStart w:id="395" w:name="_Toc19887"/>
      <w:r>
        <w:rPr>
          <w:rFonts w:ascii="Times New Roman" w:hAnsi="Times New Roman" w:cs="Times New Roman"/>
          <w:b/>
          <w:bCs/>
          <w:color w:val="auto"/>
          <w:highlight w:val="none"/>
        </w:rPr>
        <w:t>促进小农户和现代农业有机衔接</w:t>
      </w:r>
      <w:bookmarkEnd w:id="394"/>
      <w:bookmarkEnd w:id="395"/>
    </w:p>
    <w:p>
      <w:pPr>
        <w:pStyle w:val="22"/>
        <w:snapToGrid w:val="0"/>
        <w:spacing w:line="560" w:lineRule="exact"/>
        <w:ind w:firstLine="640"/>
        <w:rPr>
          <w:rFonts w:ascii="Times New Roman" w:hAnsi="Times New Roman"/>
          <w:color w:val="auto"/>
          <w:szCs w:val="32"/>
          <w:highlight w:val="none"/>
        </w:rPr>
      </w:pPr>
      <w:r>
        <w:rPr>
          <w:rFonts w:ascii="Times New Roman" w:hAnsi="Times New Roman"/>
          <w:color w:val="auto"/>
          <w:szCs w:val="32"/>
          <w:highlight w:val="none"/>
        </w:rPr>
        <w:t>建立完善小农户与农业经营主体利益深度联结机制，提升小农户组织化程度，带动小农户专业化、标准化、集约化生产。建立健全小农户生产社会化服务机制，鼓励发展互联网、物联网等新型农业服务形式，支持供销、粮食、农机、金融等系统发挥小农户服务综合平台作用。继续完善产业社会化服务体系建设，配套建设电子商务服务站、农资配送中心、专家大院服务、农民培训站、质量安全检测点、益农信息社和网销服务站点等服务平台，搭建荥经县农业社会化服务平台信息系统。大力发展农业生产性服务业，规范和高质量实施农业生产托管项目，重点推广特色农产品单环节服务。强化公益性服务机构建设，扩大政府购买公益性服务机制创新和农业全程社会化服务试点，加快发展“一站式”农业生产性服务业。</w:t>
      </w:r>
    </w:p>
    <w:p>
      <w:pPr>
        <w:pStyle w:val="4"/>
        <w:keepLines w:val="0"/>
        <w:numPr>
          <w:ilvl w:val="1"/>
          <w:numId w:val="5"/>
        </w:numPr>
        <w:spacing w:before="312" w:beforeLines="100" w:after="312" w:afterLines="100" w:line="620" w:lineRule="exact"/>
        <w:jc w:val="center"/>
        <w:rPr>
          <w:rFonts w:ascii="Times New Roman" w:hAnsi="Times New Roman" w:cs="Times New Roman"/>
          <w:b/>
          <w:bCs/>
          <w:color w:val="auto"/>
          <w:highlight w:val="none"/>
        </w:rPr>
      </w:pPr>
      <w:bookmarkStart w:id="396" w:name="_Toc12444"/>
      <w:bookmarkStart w:id="397" w:name="_Toc75731172"/>
      <w:r>
        <w:rPr>
          <w:rFonts w:ascii="Times New Roman" w:hAnsi="Times New Roman" w:cs="Times New Roman"/>
          <w:b/>
          <w:bCs/>
          <w:color w:val="auto"/>
          <w:highlight w:val="none"/>
        </w:rPr>
        <w:t>促进农民转移就业</w:t>
      </w:r>
      <w:bookmarkEnd w:id="396"/>
      <w:bookmarkEnd w:id="397"/>
    </w:p>
    <w:p>
      <w:pPr>
        <w:pStyle w:val="22"/>
        <w:snapToGrid w:val="0"/>
        <w:spacing w:line="560" w:lineRule="exact"/>
        <w:ind w:firstLine="640"/>
        <w:rPr>
          <w:rFonts w:ascii="Times New Roman" w:hAnsi="Times New Roman"/>
          <w:color w:val="auto"/>
          <w:szCs w:val="32"/>
          <w:highlight w:val="none"/>
        </w:rPr>
      </w:pPr>
      <w:r>
        <w:rPr>
          <w:rFonts w:hint="eastAsia" w:ascii="Times New Roman" w:hAnsi="Times New Roman"/>
          <w:color w:val="auto"/>
          <w:szCs w:val="32"/>
          <w:highlight w:val="none"/>
        </w:rPr>
        <w:t>加大</w:t>
      </w:r>
      <w:r>
        <w:rPr>
          <w:rFonts w:ascii="Times New Roman" w:hAnsi="Times New Roman"/>
          <w:color w:val="auto"/>
          <w:szCs w:val="32"/>
          <w:highlight w:val="none"/>
        </w:rPr>
        <w:t>对乡村创业就业人员进行免费职业技术培训、创业培训</w:t>
      </w:r>
      <w:r>
        <w:rPr>
          <w:rFonts w:hint="eastAsia" w:ascii="Times New Roman" w:hAnsi="Times New Roman"/>
          <w:color w:val="auto"/>
          <w:szCs w:val="32"/>
          <w:highlight w:val="none"/>
        </w:rPr>
        <w:t>等政策支持</w:t>
      </w:r>
      <w:r>
        <w:rPr>
          <w:rFonts w:ascii="Times New Roman" w:hAnsi="Times New Roman"/>
          <w:color w:val="auto"/>
          <w:szCs w:val="32"/>
          <w:highlight w:val="none"/>
        </w:rPr>
        <w:t>，提高乡村创业就业人员的自身创业素质。落实和完善融资贷款、税费减免等资金扶持政策。建立返乡创业信息发布平台，帮助乡村创业就业人员及时清除创业时的政策盲点，使正在创业或打算创业的人员熟悉当地在劳动保障、财政、工商、税收、场地等各项优惠政策。建设</w:t>
      </w:r>
      <w:r>
        <w:rPr>
          <w:rFonts w:hint="eastAsia" w:ascii="Times New Roman" w:hAnsi="Times New Roman"/>
          <w:color w:val="auto"/>
          <w:szCs w:val="32"/>
          <w:highlight w:val="none"/>
        </w:rPr>
        <w:t>覆盖全县的</w:t>
      </w:r>
      <w:r>
        <w:rPr>
          <w:rFonts w:ascii="Times New Roman" w:hAnsi="Times New Roman"/>
          <w:color w:val="auto"/>
          <w:szCs w:val="32"/>
          <w:highlight w:val="none"/>
        </w:rPr>
        <w:t>就业和社会保障公共服务平台。建立开放、包容的用才、育才、惜才长效机制，妥善考虑他们在生活保障、后续发展等方面的诉求，积极践行社会主义核心价值观，加强队伍精神文明建设，让返乡下乡人才工作有动力、发展有空间、生活有条件，在创业就业中得到更多获得感、幸福感，行稳致远，为农村的发展留住更多更好的人才。</w:t>
      </w:r>
      <w:r>
        <w:rPr>
          <w:rFonts w:hint="eastAsia" w:ascii="Times New Roman" w:hAnsi="Times New Roman"/>
          <w:color w:val="auto"/>
          <w:szCs w:val="32"/>
          <w:highlight w:val="none"/>
        </w:rPr>
        <w:t>支持新建</w:t>
      </w:r>
      <w:r>
        <w:rPr>
          <w:rFonts w:ascii="Times New Roman" w:hAnsi="Times New Roman"/>
          <w:color w:val="auto"/>
          <w:szCs w:val="32"/>
          <w:highlight w:val="none"/>
        </w:rPr>
        <w:t>返乡创业就业基地，为返乡创业人员提供良好创业环境。</w:t>
      </w:r>
    </w:p>
    <w:p>
      <w:pPr>
        <w:pStyle w:val="22"/>
        <w:snapToGrid w:val="0"/>
        <w:spacing w:before="156" w:beforeLines="50" w:after="156" w:afterLines="50" w:line="580" w:lineRule="exact"/>
        <w:ind w:firstLine="0" w:firstLineChars="0"/>
        <w:jc w:val="center"/>
        <w:rPr>
          <w:rFonts w:ascii="Times New Roman" w:hAnsi="Times New Roman" w:eastAsia="黑体"/>
          <w:b/>
          <w:bCs/>
          <w:color w:val="auto"/>
          <w:sz w:val="28"/>
          <w:szCs w:val="28"/>
          <w:highlight w:val="none"/>
          <w:shd w:val="clear" w:color="auto" w:fill="FFFFFF"/>
        </w:rPr>
      </w:pPr>
      <w:r>
        <w:rPr>
          <w:rFonts w:ascii="Times New Roman" w:hAnsi="Times New Roman" w:eastAsia="黑体"/>
          <w:b/>
          <w:bCs/>
          <w:color w:val="auto"/>
          <w:sz w:val="28"/>
          <w:szCs w:val="28"/>
          <w:highlight w:val="none"/>
          <w:shd w:val="clear" w:color="auto" w:fill="FFFFFF"/>
        </w:rPr>
        <w:t>专栏15  农民全面发展建设工程</w:t>
      </w:r>
    </w:p>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pStyle w:val="7"/>
              <w:spacing w:after="0" w:line="560" w:lineRule="exact"/>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 xml:space="preserve">01 </w:t>
            </w:r>
            <w:r>
              <w:rPr>
                <w:rFonts w:hint="eastAsia" w:ascii="Times New Roman" w:hAnsi="Times New Roman" w:eastAsia="楷体_GB2312" w:cs="Times New Roman"/>
                <w:b/>
                <w:bCs/>
                <w:color w:val="auto"/>
                <w:sz w:val="28"/>
                <w:szCs w:val="28"/>
                <w:highlight w:val="none"/>
                <w:shd w:val="clear" w:color="auto" w:fill="FFFFFF"/>
              </w:rPr>
              <w:t>高素质农民培训工程</w:t>
            </w:r>
          </w:p>
          <w:p>
            <w:pPr>
              <w:pStyle w:val="22"/>
              <w:snapToGrid w:val="0"/>
              <w:spacing w:line="4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开展高素质农民培训，到2025年，全面建成职业农民培训体系和培训制度，培训高素质农民250人。</w:t>
            </w:r>
          </w:p>
          <w:p>
            <w:pPr>
              <w:pStyle w:val="7"/>
              <w:spacing w:line="560" w:lineRule="exact"/>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 xml:space="preserve">02 </w:t>
            </w:r>
            <w:r>
              <w:rPr>
                <w:rFonts w:hint="eastAsia" w:ascii="Times New Roman" w:hAnsi="Times New Roman" w:eastAsia="楷体_GB2312" w:cs="Times New Roman"/>
                <w:b/>
                <w:bCs/>
                <w:color w:val="auto"/>
                <w:sz w:val="28"/>
                <w:szCs w:val="28"/>
                <w:highlight w:val="none"/>
                <w:shd w:val="clear" w:color="auto" w:fill="FFFFFF"/>
              </w:rPr>
              <w:t>新型经营主体培育壮大工程</w:t>
            </w:r>
          </w:p>
          <w:p>
            <w:pPr>
              <w:pStyle w:val="22"/>
              <w:snapToGrid w:val="0"/>
              <w:spacing w:line="4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实施农业龙头企业培育、农民合作社、家庭农场示范创建工程，到2025年，培育市级以上重点龙头企业20家，市级以上农民合作社示范社20家，市级以上示范家庭农场20家，建立产业化联合体2个，新型农业经营主体引领带动小农户占农户总数95%以上。</w:t>
            </w:r>
          </w:p>
          <w:p>
            <w:pPr>
              <w:pStyle w:val="7"/>
              <w:spacing w:after="0" w:line="560" w:lineRule="exact"/>
              <w:rPr>
                <w:rFonts w:ascii="Times New Roman" w:hAnsi="Times New Roman" w:eastAsia="楷体_GB2312" w:cs="Times New Roman"/>
                <w:b/>
                <w:color w:val="auto"/>
                <w:sz w:val="28"/>
                <w:szCs w:val="28"/>
                <w:highlight w:val="none"/>
              </w:rPr>
            </w:pPr>
            <w:r>
              <w:rPr>
                <w:rFonts w:ascii="Times New Roman" w:hAnsi="Times New Roman" w:eastAsia="楷体_GB2312" w:cs="Times New Roman"/>
                <w:b/>
                <w:color w:val="auto"/>
                <w:sz w:val="28"/>
                <w:szCs w:val="28"/>
                <w:highlight w:val="none"/>
              </w:rPr>
              <w:t>0</w:t>
            </w:r>
            <w:r>
              <w:rPr>
                <w:rFonts w:hint="eastAsia" w:ascii="Times New Roman" w:hAnsi="Times New Roman" w:eastAsia="楷体_GB2312" w:cs="Times New Roman"/>
                <w:b/>
                <w:color w:val="auto"/>
                <w:sz w:val="28"/>
                <w:szCs w:val="28"/>
                <w:highlight w:val="none"/>
              </w:rPr>
              <w:t>3</w:t>
            </w:r>
            <w:r>
              <w:rPr>
                <w:rFonts w:ascii="Times New Roman" w:hAnsi="Times New Roman" w:eastAsia="楷体_GB2312" w:cs="Times New Roman"/>
                <w:b/>
                <w:color w:val="auto"/>
                <w:sz w:val="28"/>
                <w:szCs w:val="28"/>
                <w:highlight w:val="none"/>
              </w:rPr>
              <w:t xml:space="preserve"> 农业社会化服务组织建设工程</w:t>
            </w:r>
          </w:p>
          <w:p>
            <w:pPr>
              <w:pStyle w:val="22"/>
              <w:snapToGrid w:val="0"/>
              <w:spacing w:line="4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rPr>
              <w:t>建成功能齐全、服务完善的农业社会化服务超市</w:t>
            </w:r>
            <w:r>
              <w:rPr>
                <w:rFonts w:hint="eastAsia" w:ascii="Times New Roman" w:hAnsi="Times New Roman"/>
                <w:color w:val="auto"/>
                <w:sz w:val="28"/>
                <w:szCs w:val="28"/>
                <w:highlight w:val="none"/>
                <w:lang w:val="en-US" w:eastAsia="zh-CN"/>
              </w:rPr>
              <w:t>4</w:t>
            </w:r>
            <w:r>
              <w:rPr>
                <w:rFonts w:ascii="Times New Roman" w:hAnsi="Times New Roman"/>
                <w:color w:val="auto"/>
                <w:sz w:val="28"/>
                <w:szCs w:val="28"/>
                <w:highlight w:val="none"/>
              </w:rPr>
              <w:t>个，鼓励支持经营主体领办创办各类专业化社会化服务组织</w:t>
            </w:r>
            <w:r>
              <w:rPr>
                <w:rFonts w:hint="eastAsia" w:ascii="Times New Roman" w:hAnsi="Times New Roman"/>
                <w:color w:val="auto"/>
                <w:sz w:val="28"/>
                <w:szCs w:val="28"/>
                <w:highlight w:val="none"/>
                <w:lang w:val="en-US" w:eastAsia="zh-CN"/>
              </w:rPr>
              <w:t>2</w:t>
            </w:r>
            <w:r>
              <w:rPr>
                <w:rFonts w:ascii="Times New Roman" w:hAnsi="Times New Roman"/>
                <w:color w:val="auto"/>
                <w:sz w:val="28"/>
                <w:szCs w:val="28"/>
                <w:highlight w:val="none"/>
              </w:rPr>
              <w:t>个以上。</w:t>
            </w:r>
            <w:r>
              <w:rPr>
                <w:rFonts w:hint="eastAsia" w:ascii="Times New Roman" w:hAnsi="Times New Roman"/>
                <w:color w:val="auto"/>
                <w:sz w:val="28"/>
                <w:szCs w:val="28"/>
                <w:highlight w:val="none"/>
              </w:rPr>
              <w:t>新建返乡创业基地1个，包括</w:t>
            </w:r>
            <w:r>
              <w:rPr>
                <w:rFonts w:ascii="Times New Roman" w:hAnsi="Times New Roman"/>
                <w:color w:val="auto"/>
                <w:sz w:val="28"/>
                <w:szCs w:val="28"/>
                <w:highlight w:val="none"/>
              </w:rPr>
              <w:t>创业孵化示范基地和职业技能实训</w:t>
            </w:r>
            <w:r>
              <w:rPr>
                <w:rFonts w:hint="eastAsia" w:ascii="Times New Roman" w:hAnsi="Times New Roman"/>
                <w:color w:val="auto"/>
                <w:sz w:val="28"/>
                <w:szCs w:val="28"/>
                <w:highlight w:val="none"/>
              </w:rPr>
              <w:t>等功能</w:t>
            </w:r>
            <w:r>
              <w:rPr>
                <w:rFonts w:ascii="Times New Roman" w:hAnsi="Times New Roman"/>
                <w:color w:val="auto"/>
                <w:sz w:val="28"/>
                <w:szCs w:val="28"/>
                <w:highlight w:val="none"/>
              </w:rPr>
              <w:t>。</w:t>
            </w:r>
          </w:p>
        </w:tc>
      </w:tr>
    </w:tbl>
    <w:p>
      <w:pPr>
        <w:pStyle w:val="25"/>
        <w:adjustRightInd w:val="0"/>
        <w:snapToGrid w:val="0"/>
        <w:spacing w:before="312" w:beforeLines="100" w:after="312" w:afterLines="100" w:line="560" w:lineRule="exact"/>
        <w:ind w:firstLine="0" w:firstLineChars="0"/>
        <w:jc w:val="center"/>
        <w:rPr>
          <w:rFonts w:ascii="Times New Roman" w:hAnsi="Times New Roman" w:eastAsia="黑体" w:cs="Times New Roman"/>
          <w:color w:val="auto"/>
          <w:sz w:val="36"/>
          <w:szCs w:val="36"/>
          <w:highlight w:val="none"/>
        </w:rPr>
        <w:sectPr>
          <w:pgSz w:w="11906" w:h="16838"/>
          <w:pgMar w:top="1440" w:right="1797" w:bottom="1440" w:left="1797" w:header="851" w:footer="992" w:gutter="0"/>
          <w:cols w:space="425" w:num="1"/>
          <w:docGrid w:type="lines" w:linePitch="312" w:charSpace="0"/>
        </w:sectPr>
      </w:pPr>
    </w:p>
    <w:p>
      <w:pPr>
        <w:numPr>
          <w:ilvl w:val="0"/>
          <w:numId w:val="1"/>
        </w:numPr>
        <w:spacing w:line="620" w:lineRule="exact"/>
        <w:jc w:val="center"/>
        <w:outlineLvl w:val="0"/>
        <w:rPr>
          <w:rFonts w:ascii="Times New Roman" w:hAnsi="Times New Roman" w:eastAsia="方正小标宋简体" w:cs="Times New Roman"/>
          <w:b/>
          <w:bCs/>
          <w:color w:val="auto"/>
          <w:sz w:val="44"/>
          <w:szCs w:val="44"/>
          <w:highlight w:val="none"/>
        </w:rPr>
        <w:sectPr>
          <w:type w:val="continuous"/>
          <w:pgSz w:w="11906" w:h="16838"/>
          <w:pgMar w:top="1440" w:right="1797" w:bottom="1440" w:left="1797" w:header="851" w:footer="992" w:gutter="0"/>
          <w:cols w:space="425" w:num="1"/>
          <w:docGrid w:type="lines" w:linePitch="312" w:charSpace="0"/>
        </w:sectPr>
      </w:pPr>
    </w:p>
    <w:p>
      <w:pPr>
        <w:numPr>
          <w:ilvl w:val="0"/>
          <w:numId w:val="1"/>
        </w:numPr>
        <w:spacing w:line="620" w:lineRule="exact"/>
        <w:jc w:val="center"/>
        <w:outlineLvl w:val="0"/>
        <w:rPr>
          <w:rFonts w:ascii="Times New Roman" w:hAnsi="Times New Roman" w:eastAsia="方正小标宋简体" w:cs="Times New Roman"/>
          <w:b/>
          <w:bCs/>
          <w:color w:val="auto"/>
          <w:sz w:val="44"/>
          <w:szCs w:val="44"/>
          <w:highlight w:val="none"/>
        </w:rPr>
      </w:pPr>
      <w:bookmarkStart w:id="398" w:name="_Toc75731173"/>
      <w:bookmarkStart w:id="399" w:name="_Toc15816"/>
      <w:r>
        <w:rPr>
          <w:rFonts w:hint="eastAsia" w:ascii="Times New Roman" w:hAnsi="Times New Roman" w:eastAsia="方正小标宋简体" w:cs="Times New Roman"/>
          <w:b/>
          <w:bCs/>
          <w:color w:val="auto"/>
          <w:sz w:val="44"/>
          <w:szCs w:val="44"/>
          <w:highlight w:val="none"/>
        </w:rPr>
        <w:t>推动农业绿色发展</w:t>
      </w:r>
      <w:r>
        <w:rPr>
          <w:rFonts w:ascii="Times New Roman" w:hAnsi="Times New Roman" w:eastAsia="方正小标宋简体" w:cs="Times New Roman"/>
          <w:b/>
          <w:bCs/>
          <w:color w:val="auto"/>
          <w:sz w:val="44"/>
          <w:szCs w:val="44"/>
          <w:highlight w:val="none"/>
        </w:rPr>
        <w:t>，</w:t>
      </w:r>
      <w:bookmarkEnd w:id="384"/>
      <w:bookmarkEnd w:id="385"/>
      <w:r>
        <w:rPr>
          <w:rFonts w:hint="eastAsia" w:ascii="Times New Roman" w:hAnsi="Times New Roman" w:eastAsia="方正小标宋简体" w:cs="Times New Roman"/>
          <w:b/>
          <w:bCs/>
          <w:color w:val="auto"/>
          <w:sz w:val="44"/>
          <w:szCs w:val="44"/>
          <w:highlight w:val="none"/>
        </w:rPr>
        <w:t>强化农村生态文明建设</w:t>
      </w:r>
      <w:bookmarkEnd w:id="398"/>
      <w:bookmarkEnd w:id="399"/>
    </w:p>
    <w:p>
      <w:pPr>
        <w:pStyle w:val="4"/>
        <w:keepLines w:val="0"/>
        <w:numPr>
          <w:ilvl w:val="1"/>
          <w:numId w:val="6"/>
        </w:numPr>
        <w:spacing w:before="312" w:beforeLines="100" w:after="312" w:afterLines="100" w:line="620" w:lineRule="exact"/>
        <w:jc w:val="center"/>
        <w:rPr>
          <w:rFonts w:ascii="Times New Roman" w:hAnsi="Times New Roman" w:cs="Times New Roman"/>
          <w:b/>
          <w:bCs/>
          <w:color w:val="auto"/>
          <w:highlight w:val="none"/>
        </w:rPr>
      </w:pPr>
      <w:bookmarkStart w:id="400" w:name="_Toc22039"/>
      <w:bookmarkStart w:id="401" w:name="_Toc28945"/>
      <w:bookmarkStart w:id="402" w:name="_Toc28591"/>
      <w:bookmarkStart w:id="403" w:name="_Toc75731174"/>
      <w:r>
        <w:rPr>
          <w:rFonts w:ascii="Times New Roman" w:hAnsi="Times New Roman" w:cs="Times New Roman"/>
          <w:b/>
          <w:bCs/>
          <w:color w:val="auto"/>
          <w:highlight w:val="none"/>
        </w:rPr>
        <w:t>实施农业绿色发展行动</w:t>
      </w:r>
      <w:bookmarkEnd w:id="400"/>
      <w:bookmarkEnd w:id="401"/>
      <w:bookmarkEnd w:id="402"/>
      <w:bookmarkEnd w:id="403"/>
    </w:p>
    <w:p>
      <w:pPr>
        <w:pStyle w:val="22"/>
        <w:snapToGrid w:val="0"/>
        <w:spacing w:line="560" w:lineRule="exact"/>
        <w:ind w:firstLine="643"/>
        <w:outlineLvl w:val="9"/>
        <w:rPr>
          <w:rFonts w:ascii="Times New Roman" w:hAnsi="Times New Roman"/>
          <w:color w:val="auto"/>
          <w:szCs w:val="32"/>
          <w:highlight w:val="none"/>
        </w:rPr>
      </w:pPr>
      <w:r>
        <w:rPr>
          <w:rFonts w:hint="eastAsia" w:ascii="Times New Roman" w:hAnsi="Times New Roman"/>
          <w:color w:val="auto"/>
          <w:szCs w:val="32"/>
          <w:highlight w:val="none"/>
        </w:rPr>
        <w:t>加强农业面源污染防治，</w:t>
      </w:r>
      <w:r>
        <w:rPr>
          <w:rFonts w:ascii="Times New Roman" w:hAnsi="Times New Roman"/>
          <w:color w:val="auto"/>
          <w:szCs w:val="32"/>
          <w:highlight w:val="none"/>
        </w:rPr>
        <w:t>做优绿色（有机）现代农业，形成具有市场竞争力的荥经生态农产品，打造全省绿色有机农产品供应地。逐年降低化肥使用量，实施有机肥替代工程，建秸秆综合利用肥料加工厂，配套相关设施设备</w:t>
      </w:r>
      <w:r>
        <w:rPr>
          <w:rFonts w:hint="eastAsia" w:ascii="Times New Roman" w:hAnsi="Times New Roman"/>
          <w:color w:val="auto"/>
          <w:szCs w:val="32"/>
          <w:highlight w:val="none"/>
        </w:rPr>
        <w:t>。推动耕地质量修复和污染综合治理，</w:t>
      </w:r>
      <w:r>
        <w:rPr>
          <w:rFonts w:ascii="Times New Roman" w:hAnsi="Times New Roman"/>
          <w:color w:val="auto"/>
          <w:szCs w:val="32"/>
          <w:highlight w:val="none"/>
        </w:rPr>
        <w:t>推进畜禽粪污资源化利用，构建种养结合、农牧循环的可持续发展新格局，推广果菜茶有机肥替代化肥技术，推进秸秆肥料化、饲料化、燃料化、原料化、基料化利用，推广使用加厚地膜、加强地膜回收监管</w:t>
      </w:r>
      <w:r>
        <w:rPr>
          <w:rFonts w:hint="eastAsia" w:ascii="Times New Roman" w:hAnsi="Times New Roman"/>
          <w:color w:val="auto"/>
          <w:szCs w:val="32"/>
          <w:highlight w:val="none"/>
        </w:rPr>
        <w:t>，加大农药包装废弃物回收处理力度</w:t>
      </w:r>
      <w:r>
        <w:rPr>
          <w:rFonts w:ascii="Times New Roman" w:hAnsi="Times New Roman"/>
          <w:color w:val="auto"/>
          <w:szCs w:val="32"/>
          <w:highlight w:val="none"/>
        </w:rPr>
        <w:t>，建设乡镇农业废弃物回收转运站和村级集中回收站点。</w:t>
      </w:r>
    </w:p>
    <w:p>
      <w:pPr>
        <w:pStyle w:val="4"/>
        <w:keepLines w:val="0"/>
        <w:numPr>
          <w:ilvl w:val="1"/>
          <w:numId w:val="6"/>
        </w:numPr>
        <w:spacing w:before="312" w:beforeLines="100" w:after="312" w:afterLines="100" w:line="620" w:lineRule="exact"/>
        <w:jc w:val="center"/>
        <w:rPr>
          <w:rFonts w:ascii="Times New Roman" w:hAnsi="Times New Roman" w:cs="Times New Roman"/>
          <w:b/>
          <w:bCs/>
          <w:color w:val="auto"/>
          <w:highlight w:val="none"/>
        </w:rPr>
      </w:pPr>
      <w:bookmarkStart w:id="404" w:name="_Toc75731175"/>
      <w:bookmarkStart w:id="405" w:name="_Toc19616"/>
      <w:bookmarkStart w:id="406" w:name="_Toc19817"/>
      <w:bookmarkStart w:id="407" w:name="_Toc22456"/>
      <w:r>
        <w:rPr>
          <w:rFonts w:ascii="Times New Roman" w:hAnsi="Times New Roman" w:cs="Times New Roman"/>
          <w:b/>
          <w:bCs/>
          <w:color w:val="auto"/>
          <w:highlight w:val="none"/>
        </w:rPr>
        <w:t>实施农产品质量安全提升行动</w:t>
      </w:r>
      <w:bookmarkEnd w:id="404"/>
      <w:bookmarkEnd w:id="405"/>
      <w:bookmarkEnd w:id="406"/>
      <w:bookmarkEnd w:id="407"/>
    </w:p>
    <w:p>
      <w:pPr>
        <w:pStyle w:val="22"/>
        <w:snapToGrid w:val="0"/>
        <w:spacing w:line="560" w:lineRule="exact"/>
        <w:ind w:firstLine="643"/>
        <w:outlineLvl w:val="9"/>
        <w:rPr>
          <w:rFonts w:ascii="Times New Roman" w:hAnsi="Times New Roman"/>
          <w:color w:val="auto"/>
          <w:szCs w:val="32"/>
          <w:highlight w:val="none"/>
        </w:rPr>
      </w:pPr>
      <w:r>
        <w:rPr>
          <w:rFonts w:ascii="Times New Roman" w:hAnsi="Times New Roman"/>
          <w:color w:val="auto"/>
          <w:szCs w:val="32"/>
          <w:highlight w:val="none"/>
        </w:rPr>
        <w:t>从农产品生产环境污染源头抓起，加大环境污染的检测和治理力度，保证农产品生产环境安全。推行农产品生产标准化，利用先进的生产技术措施、生产工艺、生产流程，保证农产品生产过程科学有序，有利于可持续发展，培育一批生产管理规范、经济效益好、带动能力强的标准化生产经营主体。做精做强专业化农产品质检中心，组织开展农产品质量安全检测技术能力验证，探索建立质检机构诚信档案和重点监管名单制度，推动实施农产品食品检验员职业资格制度。健全产品标准生产体系和产品质量追溯体系，建设推广智慧农安监管服务平台，提升农产品质量安全监测预警和风险防控能力，健全突发事件信息管理体系，完善舆情监测制度。</w:t>
      </w:r>
    </w:p>
    <w:p>
      <w:pPr>
        <w:pStyle w:val="4"/>
        <w:keepLines w:val="0"/>
        <w:numPr>
          <w:ilvl w:val="1"/>
          <w:numId w:val="6"/>
        </w:numPr>
        <w:spacing w:before="312" w:beforeLines="100" w:after="312" w:afterLines="100" w:line="620" w:lineRule="exact"/>
        <w:jc w:val="center"/>
        <w:rPr>
          <w:rFonts w:ascii="Times New Roman" w:hAnsi="Times New Roman" w:cs="Times New Roman"/>
          <w:b/>
          <w:bCs/>
          <w:color w:val="auto"/>
          <w:highlight w:val="none"/>
        </w:rPr>
      </w:pPr>
      <w:bookmarkStart w:id="408" w:name="_Toc14422"/>
      <w:bookmarkStart w:id="409" w:name="_Toc3184"/>
      <w:bookmarkStart w:id="410" w:name="_Toc17377"/>
      <w:bookmarkStart w:id="411" w:name="_Toc75731176"/>
      <w:r>
        <w:rPr>
          <w:rFonts w:ascii="Times New Roman" w:hAnsi="Times New Roman" w:cs="Times New Roman"/>
          <w:b/>
          <w:bCs/>
          <w:color w:val="auto"/>
          <w:highlight w:val="none"/>
        </w:rPr>
        <w:t>实施“荥字号”品牌培育创建行动</w:t>
      </w:r>
      <w:bookmarkEnd w:id="408"/>
      <w:bookmarkEnd w:id="409"/>
      <w:bookmarkEnd w:id="410"/>
      <w:bookmarkEnd w:id="411"/>
    </w:p>
    <w:p>
      <w:pPr>
        <w:pStyle w:val="22"/>
        <w:snapToGrid w:val="0"/>
        <w:spacing w:line="560" w:lineRule="exact"/>
        <w:ind w:firstLine="643"/>
        <w:outlineLvl w:val="9"/>
        <w:rPr>
          <w:rFonts w:ascii="Times New Roman" w:hAnsi="Times New Roman"/>
          <w:color w:val="auto"/>
          <w:szCs w:val="32"/>
          <w:highlight w:val="none"/>
        </w:rPr>
      </w:pPr>
      <w:r>
        <w:rPr>
          <w:rFonts w:ascii="Times New Roman" w:hAnsi="Times New Roman"/>
          <w:color w:val="auto"/>
          <w:szCs w:val="32"/>
          <w:highlight w:val="none"/>
        </w:rPr>
        <w:t>鼓励“荥经黄牛”“荥经长毛兔”等地方品种保护与开发，培育打造一批特色鲜明、质量稳定、信誉良好、市场占有率高的企业畜产品品牌</w:t>
      </w:r>
      <w:r>
        <w:rPr>
          <w:rFonts w:hint="eastAsia" w:ascii="Times New Roman" w:hAnsi="Times New Roman"/>
          <w:color w:val="auto"/>
          <w:szCs w:val="32"/>
          <w:highlight w:val="none"/>
        </w:rPr>
        <w:t>。强化“皇金芽”“姜氏藏茶”等品牌运用，提升特色农产品电商直播效应。支持</w:t>
      </w:r>
      <w:r>
        <w:rPr>
          <w:rFonts w:ascii="Times New Roman" w:hAnsi="Times New Roman"/>
          <w:color w:val="auto"/>
          <w:szCs w:val="32"/>
          <w:highlight w:val="none"/>
        </w:rPr>
        <w:t>打造“荥经（龙苍沟）”区域果蔬品牌</w:t>
      </w:r>
      <w:r>
        <w:rPr>
          <w:rFonts w:hint="eastAsia" w:ascii="Times New Roman" w:hAnsi="Times New Roman"/>
          <w:color w:val="auto"/>
          <w:szCs w:val="32"/>
          <w:highlight w:val="none"/>
        </w:rPr>
        <w:t>。</w:t>
      </w:r>
      <w:r>
        <w:rPr>
          <w:rFonts w:ascii="Times New Roman" w:hAnsi="Times New Roman"/>
          <w:color w:val="auto"/>
          <w:szCs w:val="32"/>
          <w:highlight w:val="none"/>
        </w:rPr>
        <w:t>不断提升“荥经‘森’”品牌知名度和影响力，打造荥经黄柏、荥经天麻等中药材地域性公共品牌，加强“荥经竹笋”“荥经茶叶”地理标志品牌的开发和利用</w:t>
      </w:r>
      <w:r>
        <w:rPr>
          <w:rFonts w:hint="eastAsia" w:ascii="Times New Roman" w:hAnsi="Times New Roman"/>
          <w:color w:val="auto"/>
          <w:szCs w:val="32"/>
          <w:highlight w:val="none"/>
        </w:rPr>
        <w:t>。</w:t>
      </w:r>
      <w:r>
        <w:rPr>
          <w:rFonts w:ascii="Times New Roman" w:hAnsi="Times New Roman"/>
          <w:color w:val="auto"/>
          <w:szCs w:val="32"/>
          <w:highlight w:val="none"/>
        </w:rPr>
        <w:t>打造“荥经冷水鱼”“荥经活水雅鱼”等品牌</w:t>
      </w:r>
      <w:r>
        <w:rPr>
          <w:rFonts w:hint="eastAsia" w:ascii="Times New Roman" w:hAnsi="Times New Roman"/>
          <w:color w:val="auto"/>
          <w:szCs w:val="32"/>
          <w:highlight w:val="none"/>
        </w:rPr>
        <w:t>。</w:t>
      </w:r>
      <w:r>
        <w:rPr>
          <w:rFonts w:ascii="Times New Roman" w:hAnsi="Times New Roman"/>
          <w:color w:val="auto"/>
          <w:szCs w:val="32"/>
          <w:highlight w:val="none"/>
        </w:rPr>
        <w:t>进一步打造完善“高山有机药蜜”等品牌。深入实施国家地理标志农产品保护工程，积极发挥行业协会的作用，实行“政府主导、协会运作、企业主体”的运作模式，统一品牌、统一标准、统一包装、统一宣传，</w:t>
      </w:r>
      <w:r>
        <w:rPr>
          <w:rFonts w:hint="eastAsia" w:ascii="Times New Roman" w:hAnsi="Times New Roman"/>
          <w:color w:val="auto"/>
          <w:szCs w:val="32"/>
          <w:highlight w:val="none"/>
        </w:rPr>
        <w:t>积极申请</w:t>
      </w:r>
      <w:r>
        <w:rPr>
          <w:rFonts w:ascii="Times New Roman" w:hAnsi="Times New Roman"/>
          <w:color w:val="auto"/>
          <w:szCs w:val="32"/>
          <w:highlight w:val="none"/>
        </w:rPr>
        <w:t>创建“荥经</w:t>
      </w:r>
      <w:r>
        <w:rPr>
          <w:rFonts w:hint="eastAsia" w:ascii="Times New Roman" w:hAnsi="Times New Roman"/>
          <w:color w:val="auto"/>
          <w:szCs w:val="32"/>
          <w:highlight w:val="none"/>
          <w:lang w:eastAsia="zh-CN"/>
        </w:rPr>
        <w:t>茶叶</w:t>
      </w:r>
      <w:r>
        <w:rPr>
          <w:rFonts w:ascii="Times New Roman" w:hAnsi="Times New Roman"/>
          <w:color w:val="auto"/>
          <w:szCs w:val="32"/>
          <w:highlight w:val="none"/>
        </w:rPr>
        <w:t>”地理标志产品</w:t>
      </w:r>
      <w:r>
        <w:rPr>
          <w:rFonts w:hint="eastAsia" w:ascii="Times New Roman" w:hAnsi="Times New Roman"/>
          <w:color w:val="auto"/>
          <w:szCs w:val="32"/>
          <w:highlight w:val="none"/>
        </w:rPr>
        <w:t>认证</w:t>
      </w:r>
      <w:r>
        <w:rPr>
          <w:rFonts w:ascii="Times New Roman" w:hAnsi="Times New Roman"/>
          <w:color w:val="auto"/>
          <w:szCs w:val="32"/>
          <w:highlight w:val="none"/>
        </w:rPr>
        <w:t>。培育一批以地理标志农产品为核心的区域公共品牌、企业品牌和产品品牌，强化地理标志农产品质量控制和特色品质保持。</w:t>
      </w:r>
    </w:p>
    <w:p>
      <w:pPr>
        <w:pStyle w:val="4"/>
        <w:keepLines w:val="0"/>
        <w:numPr>
          <w:ilvl w:val="1"/>
          <w:numId w:val="6"/>
        </w:numPr>
        <w:spacing w:before="312" w:beforeLines="100" w:after="312" w:afterLines="100" w:line="620" w:lineRule="exact"/>
        <w:ind w:firstLine="402"/>
        <w:jc w:val="center"/>
        <w:rPr>
          <w:rFonts w:ascii="Times New Roman" w:hAnsi="Times New Roman" w:cs="Times New Roman"/>
          <w:b/>
          <w:bCs/>
          <w:color w:val="auto"/>
          <w:highlight w:val="none"/>
        </w:rPr>
      </w:pPr>
      <w:bookmarkStart w:id="412" w:name="_Toc75731177"/>
      <w:bookmarkStart w:id="413" w:name="_Toc22122"/>
      <w:r>
        <w:rPr>
          <w:rFonts w:ascii="Times New Roman" w:hAnsi="Times New Roman" w:cs="Times New Roman"/>
          <w:b/>
          <w:bCs/>
          <w:color w:val="auto"/>
          <w:highlight w:val="none"/>
        </w:rPr>
        <w:t>开展新一轮农村人居环境整治</w:t>
      </w:r>
      <w:bookmarkEnd w:id="412"/>
      <w:bookmarkEnd w:id="413"/>
    </w:p>
    <w:p>
      <w:pPr>
        <w:pStyle w:val="22"/>
        <w:snapToGrid w:val="0"/>
        <w:spacing w:line="560" w:lineRule="exact"/>
        <w:ind w:firstLine="640"/>
        <w:rPr>
          <w:rFonts w:ascii="Times New Roman" w:hAnsi="Times New Roman"/>
          <w:color w:val="auto"/>
          <w:szCs w:val="32"/>
          <w:highlight w:val="none"/>
        </w:rPr>
      </w:pPr>
      <w:r>
        <w:rPr>
          <w:rFonts w:ascii="Times New Roman" w:hAnsi="Times New Roman"/>
          <w:color w:val="auto"/>
          <w:szCs w:val="32"/>
          <w:highlight w:val="none"/>
        </w:rPr>
        <w:t>巩固农村生活垃圾、农村生活污水、农村厕所整治成果，进一步加强农村人居环境整治。做好全县垃圾处理设施、垃圾清运设施进行提升改造，新建垃圾处理场、采购垃圾处理、清运设备，鼓励实施企业化运作。因地制宜制定农村污水处理排放标准和技术规范，进一步完善全县15户以下农村分散户建设污水处理设施</w:t>
      </w:r>
      <w:r>
        <w:rPr>
          <w:rFonts w:hint="eastAsia" w:ascii="Times New Roman" w:hAnsi="Times New Roman"/>
          <w:color w:val="auto"/>
          <w:szCs w:val="32"/>
          <w:highlight w:val="none"/>
        </w:rPr>
        <w:t>和</w:t>
      </w:r>
      <w:r>
        <w:rPr>
          <w:rFonts w:ascii="Times New Roman" w:hAnsi="Times New Roman"/>
          <w:color w:val="auto"/>
          <w:szCs w:val="32"/>
          <w:highlight w:val="none"/>
        </w:rPr>
        <w:t>生活污水处理厂。分类有序推进农村无害化卫生厕所新（改）建，鼓励支持各乡镇（街道）建立厕所粪污贮存、收集、运输、处理体系，推广运用厕所粪污无害化处理并资源化利用，制定村庄清洁标准，定期组织村民开展村庄清洁，村庄公共区域和农户门前屋后常态化保持干净、整洁、有序，集中开展环境净化。积极开展植树造林、古树名木保护、湿地恢复等工作，大力开展村庄绿化。。加强对垃圾箱、公共文化设施、体育健身器材等的维修管护。加强农房建设质量监管，严格管制私搭违章建筑。</w:t>
      </w:r>
    </w:p>
    <w:p>
      <w:pPr>
        <w:pStyle w:val="4"/>
        <w:keepLines w:val="0"/>
        <w:numPr>
          <w:ilvl w:val="1"/>
          <w:numId w:val="6"/>
        </w:numPr>
        <w:spacing w:before="312" w:beforeLines="100" w:after="312" w:afterLines="100" w:line="620" w:lineRule="exact"/>
        <w:ind w:firstLine="402"/>
        <w:jc w:val="center"/>
        <w:rPr>
          <w:rFonts w:ascii="Times New Roman" w:hAnsi="Times New Roman" w:cs="Times New Roman"/>
          <w:b/>
          <w:bCs/>
          <w:color w:val="auto"/>
          <w:highlight w:val="none"/>
        </w:rPr>
      </w:pPr>
      <w:bookmarkStart w:id="414" w:name="_Toc75731178"/>
      <w:bookmarkStart w:id="415" w:name="_Toc11034"/>
      <w:r>
        <w:rPr>
          <w:rFonts w:ascii="Times New Roman" w:hAnsi="Times New Roman" w:cs="Times New Roman"/>
          <w:b/>
          <w:bCs/>
          <w:color w:val="auto"/>
          <w:highlight w:val="none"/>
        </w:rPr>
        <w:t>加强</w:t>
      </w:r>
      <w:r>
        <w:rPr>
          <w:rFonts w:hint="eastAsia" w:ascii="Times New Roman" w:hAnsi="Times New Roman" w:cs="Times New Roman"/>
          <w:b/>
          <w:bCs/>
          <w:color w:val="auto"/>
          <w:highlight w:val="none"/>
        </w:rPr>
        <w:t>乡村生态环境</w:t>
      </w:r>
      <w:r>
        <w:rPr>
          <w:rFonts w:ascii="Times New Roman" w:hAnsi="Times New Roman" w:cs="Times New Roman"/>
          <w:b/>
          <w:bCs/>
          <w:color w:val="auto"/>
          <w:highlight w:val="none"/>
        </w:rPr>
        <w:t>保护与修复</w:t>
      </w:r>
      <w:bookmarkEnd w:id="414"/>
      <w:bookmarkEnd w:id="415"/>
    </w:p>
    <w:p>
      <w:pPr>
        <w:pStyle w:val="22"/>
        <w:snapToGrid w:val="0"/>
        <w:spacing w:line="560" w:lineRule="exact"/>
        <w:ind w:firstLine="640"/>
        <w:outlineLvl w:val="9"/>
        <w:rPr>
          <w:rFonts w:ascii="Times New Roman" w:hAnsi="Times New Roman"/>
          <w:color w:val="auto"/>
          <w:szCs w:val="32"/>
          <w:highlight w:val="none"/>
        </w:rPr>
      </w:pPr>
      <w:r>
        <w:rPr>
          <w:rFonts w:hint="eastAsia" w:ascii="Times New Roman" w:hAnsi="Times New Roman"/>
          <w:b w:val="0"/>
          <w:bCs w:val="0"/>
          <w:color w:val="auto"/>
          <w:szCs w:val="32"/>
          <w:highlight w:val="none"/>
        </w:rPr>
        <w:t>加强生态资源保护与利用，深入实施天然林保护、退耕还林、野生动植物保护三大生态工程，实施生态清洁小流域建设，推进绿色小水电改造，加强矿产资源开发集中地区特别是重有色金属矿区地质环境和生态修复以及损毁山体、矿山废弃地修复。</w:t>
      </w:r>
      <w:r>
        <w:rPr>
          <w:rFonts w:hint="eastAsia" w:ascii="Times New Roman" w:hAnsi="Times New Roman"/>
          <w:color w:val="auto"/>
          <w:szCs w:val="32"/>
          <w:highlight w:val="none"/>
        </w:rPr>
        <w:t>强化河（湖）长制，系统推进农村污染治理和黑臭水体、重点小流域综合整治，加快污水处理设施提标改造，开展污水处理“微设施”建设，消除污水管网收集空白区域。深入开展居民生活垃圾分类收集和资源化回收利用。强化未利用地土壤环境监管，建立污染地块动态台账，严控新增污染。</w:t>
      </w:r>
    </w:p>
    <w:p>
      <w:pPr>
        <w:pStyle w:val="22"/>
        <w:snapToGrid w:val="0"/>
        <w:spacing w:before="156" w:beforeLines="50" w:after="156" w:afterLines="50" w:line="580" w:lineRule="exact"/>
        <w:ind w:firstLine="0" w:firstLineChars="0"/>
        <w:jc w:val="center"/>
        <w:rPr>
          <w:rFonts w:ascii="Times New Roman" w:hAnsi="Times New Roman" w:eastAsia="黑体"/>
          <w:b/>
          <w:bCs/>
          <w:color w:val="auto"/>
          <w:sz w:val="28"/>
          <w:szCs w:val="28"/>
          <w:highlight w:val="none"/>
          <w:shd w:val="clear" w:color="auto" w:fill="FFFFFF"/>
        </w:rPr>
      </w:pPr>
      <w:r>
        <w:rPr>
          <w:rFonts w:ascii="Times New Roman" w:hAnsi="Times New Roman" w:eastAsia="黑体"/>
          <w:b/>
          <w:bCs/>
          <w:color w:val="auto"/>
          <w:sz w:val="28"/>
          <w:szCs w:val="28"/>
          <w:highlight w:val="none"/>
          <w:shd w:val="clear" w:color="auto" w:fill="FFFFFF"/>
        </w:rPr>
        <w:t>专栏13  农产品品牌质量提升工程</w:t>
      </w:r>
    </w:p>
    <w:tbl>
      <w:tblPr>
        <w:tblStyle w:val="16"/>
        <w:tblW w:w="8859"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6" w:hRule="atLeast"/>
          <w:jc w:val="center"/>
        </w:trPr>
        <w:tc>
          <w:tcPr>
            <w:tcW w:w="8859" w:type="dxa"/>
            <w:vAlign w:val="center"/>
          </w:tcPr>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lang w:val="sq-AL"/>
              </w:rPr>
            </w:pPr>
            <w:r>
              <w:rPr>
                <w:rFonts w:ascii="Times New Roman" w:hAnsi="Times New Roman" w:eastAsia="楷体_GB2312" w:cs="Times New Roman"/>
                <w:b/>
                <w:bCs/>
                <w:color w:val="auto"/>
                <w:sz w:val="28"/>
                <w:szCs w:val="28"/>
                <w:highlight w:val="none"/>
                <w:shd w:val="clear" w:color="auto" w:fill="FFFFFF"/>
              </w:rPr>
              <w:t xml:space="preserve">01 </w:t>
            </w:r>
            <w:r>
              <w:rPr>
                <w:rFonts w:ascii="Times New Roman" w:hAnsi="Times New Roman" w:eastAsia="楷体_GB2312" w:cs="Times New Roman"/>
                <w:b/>
                <w:bCs/>
                <w:color w:val="auto"/>
                <w:sz w:val="28"/>
                <w:szCs w:val="28"/>
                <w:highlight w:val="none"/>
                <w:shd w:val="clear" w:color="auto" w:fill="FFFFFF"/>
                <w:lang w:val="sq-AL"/>
              </w:rPr>
              <w:t>农业废弃物回收利用</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lang w:val="sq-AL"/>
              </w:rPr>
              <w:t>加强农药包装废弃物和农田残膜回收处理，促进物质多级循环利用，建设乡镇农业废弃物回收转运站4个和村级集中回收站点30个，建设农业废弃物回收处置和利用设施，农业废弃物资源化利用及回收处置率达到70%以上。</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lang w:val="sq-AL"/>
              </w:rPr>
            </w:pPr>
            <w:r>
              <w:rPr>
                <w:rFonts w:ascii="Times New Roman" w:hAnsi="Times New Roman" w:eastAsia="楷体_GB2312" w:cs="Times New Roman"/>
                <w:b/>
                <w:bCs/>
                <w:color w:val="auto"/>
                <w:sz w:val="28"/>
                <w:szCs w:val="28"/>
                <w:highlight w:val="none"/>
                <w:shd w:val="clear" w:color="auto" w:fill="FFFFFF"/>
              </w:rPr>
              <w:t xml:space="preserve">02 </w:t>
            </w:r>
            <w:r>
              <w:rPr>
                <w:rFonts w:ascii="Times New Roman" w:hAnsi="Times New Roman" w:eastAsia="楷体_GB2312" w:cs="Times New Roman"/>
                <w:b/>
                <w:bCs/>
                <w:color w:val="auto"/>
                <w:sz w:val="28"/>
                <w:szCs w:val="28"/>
                <w:highlight w:val="none"/>
                <w:shd w:val="clear" w:color="auto" w:fill="FFFFFF"/>
                <w:lang w:val="sq-AL"/>
              </w:rPr>
              <w:t>肥料农药双替代工程</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lang w:val="sq-AL"/>
              </w:rPr>
              <w:t>实施有机肥替代工程，建秸秆综合利用饲料加工厂，配套相关设施设备，到2025年，全县主要农作物化肥和农药使用量实现零增长，农作物秸秆综合利用率稳定在92%以上。</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lang w:val="sq-AL"/>
              </w:rPr>
            </w:pPr>
            <w:r>
              <w:rPr>
                <w:rFonts w:ascii="Times New Roman" w:hAnsi="Times New Roman" w:eastAsia="楷体_GB2312" w:cs="Times New Roman"/>
                <w:b/>
                <w:bCs/>
                <w:color w:val="auto"/>
                <w:sz w:val="28"/>
                <w:szCs w:val="28"/>
                <w:highlight w:val="none"/>
                <w:shd w:val="clear" w:color="auto" w:fill="FFFFFF"/>
              </w:rPr>
              <w:t xml:space="preserve">03 </w:t>
            </w:r>
            <w:r>
              <w:rPr>
                <w:rFonts w:ascii="Times New Roman" w:hAnsi="Times New Roman" w:eastAsia="楷体_GB2312" w:cs="Times New Roman"/>
                <w:b/>
                <w:bCs/>
                <w:color w:val="auto"/>
                <w:sz w:val="28"/>
                <w:szCs w:val="28"/>
                <w:highlight w:val="none"/>
                <w:shd w:val="clear" w:color="auto" w:fill="FFFFFF"/>
                <w:lang w:val="sq-AL"/>
              </w:rPr>
              <w:t>农产品质量安全保障工程</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lang w:val="sq-AL"/>
              </w:rPr>
              <w:t>建设乡镇农产品质量安全监管标准化服务站12个、村级服务点64个，每年培训农产品质量安全监管人员300人次。建设1个以上农产品质量安全检测技术实训基地，每年建设远程智能管控示范点5个。</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lang w:val="sq-AL"/>
              </w:rPr>
            </w:pPr>
            <w:r>
              <w:rPr>
                <w:rFonts w:ascii="Times New Roman" w:hAnsi="Times New Roman" w:eastAsia="楷体_GB2312" w:cs="Times New Roman"/>
                <w:b/>
                <w:bCs/>
                <w:color w:val="auto"/>
                <w:sz w:val="28"/>
                <w:szCs w:val="28"/>
                <w:highlight w:val="none"/>
                <w:shd w:val="clear" w:color="auto" w:fill="FFFFFF"/>
              </w:rPr>
              <w:t xml:space="preserve">04 </w:t>
            </w:r>
            <w:r>
              <w:rPr>
                <w:rFonts w:ascii="Times New Roman" w:hAnsi="Times New Roman" w:eastAsia="楷体_GB2312" w:cs="Times New Roman"/>
                <w:b/>
                <w:bCs/>
                <w:color w:val="auto"/>
                <w:sz w:val="28"/>
                <w:szCs w:val="28"/>
                <w:highlight w:val="none"/>
                <w:shd w:val="clear" w:color="auto" w:fill="FFFFFF"/>
                <w:lang w:val="sq-AL"/>
              </w:rPr>
              <w:t>经作产业绿色防控技术研发和应用</w:t>
            </w:r>
          </w:p>
          <w:p>
            <w:pPr>
              <w:pStyle w:val="22"/>
              <w:snapToGrid w:val="0"/>
              <w:spacing w:line="500" w:lineRule="exact"/>
              <w:ind w:left="307" w:leftChars="146" w:firstLine="0" w:firstLineChars="0"/>
              <w:rPr>
                <w:rFonts w:ascii="Times New Roman" w:hAnsi="Times New Roman"/>
                <w:color w:val="auto"/>
                <w:sz w:val="28"/>
                <w:szCs w:val="28"/>
                <w:highlight w:val="none"/>
                <w:lang w:val="sq-AL"/>
              </w:rPr>
            </w:pPr>
            <w:r>
              <w:rPr>
                <w:rFonts w:ascii="Times New Roman" w:hAnsi="Times New Roman"/>
                <w:color w:val="auto"/>
                <w:sz w:val="28"/>
                <w:szCs w:val="28"/>
                <w:highlight w:val="none"/>
                <w:lang w:val="sq-AL"/>
              </w:rPr>
              <w:t>在县域内种植茶叶、猕猴桃重点乡镇开展经济作物病虫害生物、物理新技术绿色防控研发和推广应用。</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lang w:val="sq-AL"/>
              </w:rPr>
            </w:pPr>
            <w:r>
              <w:rPr>
                <w:rFonts w:ascii="Times New Roman" w:hAnsi="Times New Roman" w:eastAsia="楷体_GB2312" w:cs="Times New Roman"/>
                <w:b/>
                <w:bCs/>
                <w:color w:val="auto"/>
                <w:sz w:val="28"/>
                <w:szCs w:val="28"/>
                <w:highlight w:val="none"/>
                <w:shd w:val="clear" w:color="auto" w:fill="FFFFFF"/>
              </w:rPr>
              <w:t xml:space="preserve">05 </w:t>
            </w:r>
            <w:r>
              <w:rPr>
                <w:rFonts w:ascii="Times New Roman" w:hAnsi="Times New Roman" w:eastAsia="楷体_GB2312" w:cs="Times New Roman"/>
                <w:b/>
                <w:bCs/>
                <w:color w:val="auto"/>
                <w:sz w:val="28"/>
                <w:szCs w:val="28"/>
                <w:highlight w:val="none"/>
                <w:shd w:val="clear" w:color="auto" w:fill="FFFFFF"/>
                <w:lang w:val="sq-AL"/>
              </w:rPr>
              <w:t>农产品综合开发工程</w:t>
            </w:r>
          </w:p>
          <w:p>
            <w:pPr>
              <w:pStyle w:val="22"/>
              <w:snapToGrid w:val="0"/>
              <w:spacing w:line="500" w:lineRule="exact"/>
              <w:ind w:left="307" w:leftChars="146" w:firstLine="0" w:firstLineChars="0"/>
              <w:rPr>
                <w:rFonts w:ascii="Times New Roman" w:hAnsi="Times New Roman"/>
                <w:color w:val="auto"/>
                <w:sz w:val="28"/>
                <w:szCs w:val="28"/>
                <w:highlight w:val="none"/>
                <w:lang w:val="sq-AL"/>
              </w:rPr>
            </w:pPr>
            <w:r>
              <w:rPr>
                <w:rFonts w:ascii="Times New Roman" w:hAnsi="Times New Roman"/>
                <w:color w:val="auto"/>
                <w:sz w:val="28"/>
                <w:szCs w:val="28"/>
                <w:highlight w:val="none"/>
                <w:lang w:val="sq-AL"/>
              </w:rPr>
              <w:t>依托三山一城建设，开展荥经特色农产品旅游产品开发，重点对荥经茶叶、荥经竹笋、荥经天麻等进行茶点心、茶饮料、竹笋小零食、天麻食品饮料等系列旅游产品开发加工，配套建设乡村旅游特色农产品展示展销中心等。</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lang w:val="sq-AL"/>
              </w:rPr>
            </w:pPr>
            <w:r>
              <w:rPr>
                <w:rFonts w:ascii="Times New Roman" w:hAnsi="Times New Roman" w:eastAsia="楷体_GB2312" w:cs="Times New Roman"/>
                <w:b/>
                <w:bCs/>
                <w:color w:val="auto"/>
                <w:sz w:val="28"/>
                <w:szCs w:val="28"/>
                <w:highlight w:val="none"/>
                <w:shd w:val="clear" w:color="auto" w:fill="FFFFFF"/>
              </w:rPr>
              <w:t xml:space="preserve">06 </w:t>
            </w:r>
            <w:r>
              <w:rPr>
                <w:rFonts w:ascii="Times New Roman" w:hAnsi="Times New Roman" w:eastAsia="楷体_GB2312" w:cs="Times New Roman"/>
                <w:b/>
                <w:bCs/>
                <w:color w:val="auto"/>
                <w:sz w:val="28"/>
                <w:szCs w:val="28"/>
                <w:highlight w:val="none"/>
                <w:shd w:val="clear" w:color="auto" w:fill="FFFFFF"/>
                <w:lang w:val="sq-AL"/>
              </w:rPr>
              <w:t>农产品品牌壮大工程</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lang w:val="sq-AL"/>
              </w:rPr>
              <w:t>到2025年，培育绿色、有机、地理标志农产品品牌80个，培育省级、市级、县级区域公用品牌2个、农产品品牌10个。</w:t>
            </w:r>
          </w:p>
        </w:tc>
      </w:tr>
    </w:tbl>
    <w:p>
      <w:pPr>
        <w:spacing w:line="560" w:lineRule="exact"/>
        <w:jc w:val="left"/>
        <w:rPr>
          <w:rFonts w:ascii="Times New Roman" w:hAnsi="Times New Roman" w:eastAsia="仿宋" w:cs="Times New Roman"/>
          <w:b/>
          <w:color w:val="auto"/>
          <w:sz w:val="32"/>
          <w:szCs w:val="32"/>
          <w:highlight w:val="none"/>
        </w:rPr>
        <w:sectPr>
          <w:pgSz w:w="11906" w:h="16838"/>
          <w:pgMar w:top="1440" w:right="1797" w:bottom="1440" w:left="1797" w:header="851" w:footer="992" w:gutter="0"/>
          <w:cols w:space="425" w:num="1"/>
          <w:docGrid w:type="lines" w:linePitch="312" w:charSpace="0"/>
        </w:sectPr>
      </w:pPr>
    </w:p>
    <w:p>
      <w:pPr>
        <w:numPr>
          <w:ilvl w:val="0"/>
          <w:numId w:val="1"/>
        </w:numPr>
        <w:spacing w:line="620" w:lineRule="exact"/>
        <w:jc w:val="center"/>
        <w:outlineLvl w:val="0"/>
        <w:rPr>
          <w:rFonts w:ascii="Times New Roman" w:hAnsi="Times New Roman" w:eastAsia="方正小标宋简体" w:cs="Times New Roman"/>
          <w:b/>
          <w:bCs/>
          <w:color w:val="auto"/>
          <w:sz w:val="44"/>
          <w:szCs w:val="44"/>
          <w:highlight w:val="none"/>
        </w:rPr>
      </w:pPr>
      <w:bookmarkStart w:id="416" w:name="_Toc29879"/>
      <w:bookmarkStart w:id="417" w:name="_Toc25706"/>
      <w:bookmarkStart w:id="418" w:name="_Toc5172"/>
      <w:bookmarkStart w:id="419" w:name="_Toc75731179"/>
      <w:bookmarkStart w:id="420" w:name="_Toc9150"/>
      <w:r>
        <w:rPr>
          <w:rFonts w:ascii="Times New Roman" w:hAnsi="Times New Roman" w:eastAsia="方正小标宋简体" w:cs="Times New Roman"/>
          <w:b/>
          <w:bCs/>
          <w:color w:val="auto"/>
          <w:sz w:val="44"/>
          <w:szCs w:val="44"/>
          <w:highlight w:val="none"/>
        </w:rPr>
        <w:t>建设绿美荥经，打造</w:t>
      </w:r>
      <w:bookmarkEnd w:id="416"/>
      <w:bookmarkEnd w:id="417"/>
      <w:r>
        <w:rPr>
          <w:rFonts w:hint="eastAsia" w:ascii="Times New Roman" w:hAnsi="Times New Roman" w:eastAsia="方正小标宋简体" w:cs="Times New Roman"/>
          <w:b/>
          <w:bCs/>
          <w:color w:val="auto"/>
          <w:sz w:val="44"/>
          <w:szCs w:val="44"/>
          <w:highlight w:val="none"/>
        </w:rPr>
        <w:t>宜居宜业乡村</w:t>
      </w:r>
      <w:bookmarkEnd w:id="418"/>
      <w:bookmarkEnd w:id="419"/>
    </w:p>
    <w:p>
      <w:pPr>
        <w:pStyle w:val="22"/>
        <w:snapToGrid w:val="0"/>
        <w:spacing w:line="560" w:lineRule="exact"/>
        <w:ind w:firstLine="640"/>
        <w:outlineLvl w:val="9"/>
        <w:rPr>
          <w:rFonts w:ascii="Times New Roman" w:hAnsi="Times New Roman"/>
          <w:color w:val="auto"/>
          <w:szCs w:val="32"/>
          <w:highlight w:val="none"/>
        </w:rPr>
      </w:pPr>
      <w:bookmarkStart w:id="421" w:name="_Toc3364"/>
    </w:p>
    <w:p>
      <w:pPr>
        <w:pStyle w:val="22"/>
        <w:snapToGrid w:val="0"/>
        <w:spacing w:line="560" w:lineRule="exact"/>
        <w:ind w:firstLine="640"/>
        <w:outlineLvl w:val="9"/>
        <w:rPr>
          <w:rFonts w:ascii="Times New Roman" w:hAnsi="Times New Roman"/>
          <w:color w:val="auto"/>
          <w:szCs w:val="32"/>
          <w:highlight w:val="none"/>
        </w:rPr>
      </w:pPr>
      <w:r>
        <w:rPr>
          <w:rFonts w:hint="eastAsia" w:ascii="Times New Roman" w:hAnsi="Times New Roman"/>
          <w:b w:val="0"/>
          <w:bCs w:val="0"/>
          <w:color w:val="auto"/>
          <w:szCs w:val="32"/>
          <w:highlight w:val="none"/>
        </w:rPr>
        <w:t>把乡村建设摆在社会主义现代化</w:t>
      </w:r>
      <w:r>
        <w:rPr>
          <w:rFonts w:hint="eastAsia" w:ascii="Times New Roman" w:hAnsi="Times New Roman"/>
          <w:color w:val="auto"/>
          <w:szCs w:val="32"/>
          <w:highlight w:val="none"/>
        </w:rPr>
        <w:t>荥经</w:t>
      </w:r>
      <w:r>
        <w:rPr>
          <w:rFonts w:hint="eastAsia" w:ascii="Times New Roman" w:hAnsi="Times New Roman"/>
          <w:b w:val="0"/>
          <w:bCs w:val="0"/>
          <w:color w:val="auto"/>
          <w:szCs w:val="32"/>
          <w:highlight w:val="none"/>
        </w:rPr>
        <w:t>建设的重要位置，科学推进乡村规划建设，加快补齐农村基础设施和基本公共服务短板，显著改善农村生产生活条件。</w:t>
      </w:r>
    </w:p>
    <w:p>
      <w:pPr>
        <w:pStyle w:val="4"/>
        <w:keepLines w:val="0"/>
        <w:numPr>
          <w:ilvl w:val="1"/>
          <w:numId w:val="7"/>
        </w:numPr>
        <w:snapToGrid w:val="0"/>
        <w:spacing w:before="312" w:beforeLines="100" w:after="312" w:afterLines="100" w:line="620" w:lineRule="exact"/>
        <w:ind w:firstLine="643"/>
        <w:jc w:val="center"/>
        <w:rPr>
          <w:rFonts w:ascii="Times New Roman" w:hAnsi="Times New Roman" w:cs="Times New Roman"/>
          <w:b/>
          <w:bCs/>
          <w:color w:val="auto"/>
          <w:szCs w:val="32"/>
          <w:highlight w:val="none"/>
        </w:rPr>
      </w:pPr>
      <w:bookmarkStart w:id="422" w:name="_Toc1940"/>
      <w:bookmarkStart w:id="423" w:name="_Toc75731180"/>
      <w:r>
        <w:rPr>
          <w:rFonts w:hint="eastAsia" w:ascii="Times New Roman" w:hAnsi="Times New Roman" w:cs="Times New Roman"/>
          <w:b/>
          <w:bCs/>
          <w:color w:val="auto"/>
          <w:highlight w:val="none"/>
        </w:rPr>
        <w:t>加快推进村规划建设</w:t>
      </w:r>
      <w:bookmarkEnd w:id="422"/>
      <w:bookmarkEnd w:id="423"/>
    </w:p>
    <w:p>
      <w:pPr>
        <w:pStyle w:val="22"/>
        <w:snapToGrid w:val="0"/>
        <w:spacing w:line="560" w:lineRule="exact"/>
        <w:ind w:firstLine="640"/>
        <w:outlineLvl w:val="9"/>
        <w:rPr>
          <w:rFonts w:ascii="Times New Roman" w:hAnsi="Times New Roman"/>
          <w:color w:val="auto"/>
          <w:szCs w:val="32"/>
          <w:highlight w:val="none"/>
        </w:rPr>
      </w:pPr>
      <w:r>
        <w:rPr>
          <w:rFonts w:ascii="Times New Roman" w:hAnsi="Times New Roman"/>
          <w:color w:val="auto"/>
          <w:szCs w:val="32"/>
          <w:highlight w:val="none"/>
        </w:rPr>
        <w:t>坚持规划引领、有序推进，</w:t>
      </w:r>
      <w:r>
        <w:rPr>
          <w:rFonts w:hint="eastAsia" w:ascii="Times New Roman" w:hAnsi="Times New Roman"/>
          <w:color w:val="auto"/>
          <w:szCs w:val="32"/>
          <w:highlight w:val="none"/>
        </w:rPr>
        <w:t>强化县域统筹谋划和顶层设计，建立县乡村一体化设计、一并推进机制，科学制定村建设规划和推进计划，统筹乡镇产业、基础设施、公共服务、基本农田、生态保护、城镇开发、村落分布等</w:t>
      </w:r>
      <w:r>
        <w:rPr>
          <w:rFonts w:ascii="Times New Roman" w:hAnsi="Times New Roman"/>
          <w:color w:val="auto"/>
          <w:szCs w:val="32"/>
          <w:highlight w:val="none"/>
        </w:rPr>
        <w:t>乡村生产生活生态空间</w:t>
      </w:r>
      <w:r>
        <w:rPr>
          <w:rFonts w:hint="eastAsia" w:ascii="Times New Roman" w:hAnsi="Times New Roman"/>
          <w:color w:val="auto"/>
          <w:szCs w:val="32"/>
          <w:highlight w:val="none"/>
        </w:rPr>
        <w:t>，促进县乡联动、乡村一体。加强规划对乡村风貌的引导，系统保护自然风光、传统村落、田园景观和历史文化资源，</w:t>
      </w:r>
      <w:r>
        <w:rPr>
          <w:rFonts w:ascii="Times New Roman" w:hAnsi="Times New Roman"/>
          <w:color w:val="auto"/>
          <w:szCs w:val="32"/>
          <w:highlight w:val="none"/>
        </w:rPr>
        <w:t>分类推进村庄建设，保护好传统村落和乡村特色风貌，</w:t>
      </w:r>
      <w:r>
        <w:rPr>
          <w:rFonts w:hint="eastAsia" w:ascii="Times New Roman" w:hAnsi="Times New Roman"/>
          <w:color w:val="auto"/>
          <w:szCs w:val="32"/>
          <w:highlight w:val="none"/>
        </w:rPr>
        <w:t>防止盲目大拆大建。坚持从实际出发推进乡村规划建设，加大农村地区文化遗产遗迹保护力度，严格规范村庄撤并，充分尊重农民的意愿。加强乡村建设规划许可管理，严格按照县乡两级国土空间规划中确定的用途管制和建设管理要求进行建设。</w:t>
      </w:r>
    </w:p>
    <w:p>
      <w:pPr>
        <w:pStyle w:val="4"/>
        <w:keepLines w:val="0"/>
        <w:numPr>
          <w:ilvl w:val="1"/>
          <w:numId w:val="7"/>
        </w:numPr>
        <w:spacing w:before="312" w:beforeLines="100" w:after="312" w:afterLines="100" w:line="620" w:lineRule="exact"/>
        <w:jc w:val="center"/>
        <w:rPr>
          <w:rFonts w:ascii="Times New Roman" w:hAnsi="Times New Roman" w:cs="Times New Roman"/>
          <w:b/>
          <w:bCs/>
          <w:color w:val="auto"/>
          <w:highlight w:val="none"/>
        </w:rPr>
      </w:pPr>
      <w:bookmarkStart w:id="424" w:name="_Toc75731181"/>
      <w:bookmarkEnd w:id="424"/>
      <w:bookmarkStart w:id="425" w:name="_Toc75731184"/>
      <w:bookmarkStart w:id="426" w:name="_Toc13531"/>
      <w:bookmarkStart w:id="427" w:name="_Toc10030"/>
      <w:r>
        <w:rPr>
          <w:rFonts w:ascii="Times New Roman" w:hAnsi="Times New Roman" w:cs="Times New Roman"/>
          <w:b/>
          <w:bCs/>
          <w:color w:val="auto"/>
          <w:highlight w:val="none"/>
        </w:rPr>
        <w:t>提升农村“五网”基础设施</w:t>
      </w:r>
      <w:bookmarkEnd w:id="425"/>
      <w:bookmarkEnd w:id="426"/>
    </w:p>
    <w:p>
      <w:pPr>
        <w:pStyle w:val="22"/>
        <w:snapToGrid w:val="0"/>
        <w:spacing w:line="560" w:lineRule="exact"/>
        <w:ind w:firstLine="640"/>
        <w:rPr>
          <w:rFonts w:ascii="Times New Roman" w:hAnsi="Times New Roman" w:eastAsia="仿宋"/>
          <w:color w:val="auto"/>
          <w:szCs w:val="30"/>
          <w:highlight w:val="none"/>
        </w:rPr>
      </w:pPr>
      <w:r>
        <w:rPr>
          <w:rFonts w:ascii="Times New Roman" w:hAnsi="Times New Roman"/>
          <w:color w:val="auto"/>
          <w:szCs w:val="32"/>
          <w:highlight w:val="none"/>
        </w:rPr>
        <w:t>坚持县、乡、村三级联动，以通畅工程、县乡道改善提升工程、村道完善工程、配套设施完善工程和渡改桥工程为重点，突出抓好通村路硬化、村组“断头路”“联网路”和机耕便民道、庭院入户道建设，加速完善畅通农村公路网络。加快农村配网建设，持续推进农村电网改造升级，巩固和完善农村500千伏、220千伏骨干网架，完善110千伏及以下农村输配电网络。实施农村饮水安全巩固提升工程</w:t>
      </w:r>
      <w:r>
        <w:rPr>
          <w:rFonts w:hint="eastAsia" w:ascii="Times New Roman" w:hAnsi="Times New Roman"/>
          <w:color w:val="auto"/>
          <w:szCs w:val="32"/>
          <w:highlight w:val="none"/>
        </w:rPr>
        <w:t>，</w:t>
      </w:r>
      <w:r>
        <w:rPr>
          <w:rFonts w:ascii="Times New Roman" w:hAnsi="Times New Roman"/>
          <w:color w:val="auto"/>
          <w:szCs w:val="32"/>
          <w:highlight w:val="none"/>
        </w:rPr>
        <w:t>因地制宜建设供水基础设施工程，强化水质水源保障，推进城乡供水一体化和农村饮用水安全工程规模化标准化建设。支持绿色能源示范村镇等重大工程建设，推动供气设施向农村延伸，加快新村集中供气工程、生物质炉灶等燃料清洁化工程建设和应用。推进全县宽带</w:t>
      </w:r>
      <w:r>
        <w:rPr>
          <w:rFonts w:hint="eastAsia" w:ascii="Times New Roman" w:hAnsi="Times New Roman"/>
          <w:color w:val="auto"/>
          <w:szCs w:val="32"/>
          <w:highlight w:val="none"/>
        </w:rPr>
        <w:t>、5G网络</w:t>
      </w:r>
      <w:r>
        <w:rPr>
          <w:rFonts w:ascii="Times New Roman" w:hAnsi="Times New Roman"/>
          <w:color w:val="auto"/>
          <w:szCs w:val="32"/>
          <w:highlight w:val="none"/>
        </w:rPr>
        <w:t>普及，培育发展超高速光纤与无线通信、物联网、云计算、数字虚拟等新一代信息应用技术。</w:t>
      </w:r>
    </w:p>
    <w:bookmarkEnd w:id="421"/>
    <w:bookmarkEnd w:id="427"/>
    <w:p>
      <w:pPr>
        <w:pStyle w:val="4"/>
        <w:keepNext w:val="0"/>
        <w:keepLines w:val="0"/>
        <w:numPr>
          <w:ilvl w:val="1"/>
          <w:numId w:val="7"/>
        </w:numPr>
        <w:spacing w:before="312" w:beforeLines="100" w:after="312" w:afterLines="100" w:line="620" w:lineRule="exact"/>
        <w:ind w:firstLine="420"/>
        <w:jc w:val="center"/>
        <w:rPr>
          <w:rFonts w:ascii="Times New Roman" w:hAnsi="Times New Roman" w:eastAsia="黑体" w:cs="Times New Roman"/>
          <w:b/>
          <w:bCs/>
          <w:color w:val="auto"/>
          <w:sz w:val="32"/>
          <w:szCs w:val="32"/>
          <w:highlight w:val="none"/>
        </w:rPr>
      </w:pPr>
      <w:bookmarkStart w:id="428" w:name="_Toc20778"/>
      <w:bookmarkStart w:id="429" w:name="_Toc7300"/>
      <w:bookmarkStart w:id="430" w:name="_Toc3203"/>
      <w:bookmarkStart w:id="431" w:name="_Toc29144"/>
      <w:bookmarkStart w:id="432" w:name="_Toc75731187"/>
      <w:bookmarkStart w:id="433" w:name="_Toc3405"/>
      <w:bookmarkStart w:id="434" w:name="_Toc28507"/>
      <w:bookmarkStart w:id="435" w:name="_Toc4278"/>
      <w:r>
        <w:rPr>
          <w:rFonts w:hint="eastAsia" w:ascii="Times New Roman" w:hAnsi="Times New Roman" w:cs="Times New Roman"/>
          <w:b/>
          <w:bCs/>
          <w:color w:val="auto"/>
          <w:highlight w:val="none"/>
        </w:rPr>
        <w:t>推进城乡基本公共服务</w:t>
      </w:r>
      <w:bookmarkEnd w:id="428"/>
      <w:r>
        <w:rPr>
          <w:rFonts w:hint="eastAsia" w:ascii="Times New Roman" w:hAnsi="Times New Roman" w:cs="Times New Roman"/>
          <w:b/>
          <w:bCs/>
          <w:color w:val="auto"/>
          <w:highlight w:val="none"/>
        </w:rPr>
        <w:t>均等化</w:t>
      </w:r>
      <w:bookmarkEnd w:id="429"/>
      <w:bookmarkEnd w:id="430"/>
      <w:bookmarkEnd w:id="431"/>
      <w:bookmarkEnd w:id="432"/>
      <w:bookmarkEnd w:id="433"/>
      <w:bookmarkEnd w:id="434"/>
      <w:bookmarkEnd w:id="435"/>
    </w:p>
    <w:p>
      <w:pPr>
        <w:pStyle w:val="7"/>
        <w:spacing w:after="0" w:line="560" w:lineRule="exact"/>
        <w:ind w:firstLine="640"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推进公共教育均等化，优化基础教育学校布局，健全县域内教师交流</w:t>
      </w:r>
      <w:r>
        <w:rPr>
          <w:rFonts w:hint="eastAsia" w:ascii="Times New Roman" w:hAnsi="Times New Roman" w:eastAsia="仿宋_GB2312" w:cs="Times New Roman"/>
          <w:bCs/>
          <w:color w:val="auto"/>
          <w:sz w:val="32"/>
          <w:szCs w:val="32"/>
          <w:highlight w:val="none"/>
          <w:lang w:eastAsia="zh-CN"/>
        </w:rPr>
        <w:t>轮岗</w:t>
      </w:r>
      <w:r>
        <w:rPr>
          <w:rFonts w:ascii="Times New Roman" w:hAnsi="Times New Roman" w:eastAsia="仿宋_GB2312" w:cs="Times New Roman"/>
          <w:bCs/>
          <w:color w:val="auto"/>
          <w:sz w:val="32"/>
          <w:szCs w:val="32"/>
          <w:highlight w:val="none"/>
        </w:rPr>
        <w:t>机制。推进医疗资源共享化，完成乡村两级医疗卫生机构布局调整，规划建设县城医疗卫生中心。实施基层公共文化服务设施补短板工程，对乡镇综合文化站和村文化室进行提档升级。建设一批乡镇级农村社区健身中心。建设数字文化驿站，建设县应急广播平台，推进农村公益电影放映和乡镇数字影院建设。发展农村普惠型养老服务和互助性养老，提升敬老院照护服务能力，完善县乡村衔接的三级养老服务网络。加强镇村便民服务场所建设，推动公共就业服务机构向乡村延伸。完善统一的城乡居民基本医疗保险制度，合理提高政府补助标准。逐步提高城乡居民基本养老保险基础养老金最低标准。推进农村公益性殡葬设施建设。</w:t>
      </w:r>
    </w:p>
    <w:p>
      <w:pPr>
        <w:pStyle w:val="4"/>
        <w:keepLines w:val="0"/>
        <w:numPr>
          <w:ilvl w:val="1"/>
          <w:numId w:val="7"/>
        </w:numPr>
        <w:spacing w:before="312" w:beforeLines="100" w:after="312" w:afterLines="100" w:line="620" w:lineRule="exact"/>
        <w:jc w:val="center"/>
        <w:rPr>
          <w:rFonts w:ascii="Times New Roman" w:hAnsi="Times New Roman" w:cs="Times New Roman"/>
          <w:b/>
          <w:bCs/>
          <w:color w:val="auto"/>
          <w:highlight w:val="none"/>
        </w:rPr>
      </w:pPr>
      <w:bookmarkStart w:id="436" w:name="_Toc20755"/>
      <w:bookmarkStart w:id="437" w:name="_Toc58328124"/>
      <w:bookmarkStart w:id="438" w:name="_Toc17917"/>
      <w:bookmarkStart w:id="439" w:name="_Toc75731195"/>
      <w:bookmarkStart w:id="440" w:name="_Toc6673"/>
      <w:r>
        <w:rPr>
          <w:rFonts w:ascii="Times New Roman" w:hAnsi="Times New Roman" w:cs="Times New Roman"/>
          <w:b/>
          <w:bCs/>
          <w:color w:val="auto"/>
          <w:highlight w:val="none"/>
        </w:rPr>
        <w:t>开发利用乡村传统文化</w:t>
      </w:r>
      <w:bookmarkEnd w:id="436"/>
      <w:bookmarkEnd w:id="437"/>
      <w:bookmarkEnd w:id="438"/>
      <w:bookmarkEnd w:id="439"/>
      <w:bookmarkEnd w:id="440"/>
    </w:p>
    <w:p>
      <w:pPr>
        <w:pStyle w:val="22"/>
        <w:snapToGrid w:val="0"/>
        <w:spacing w:line="560" w:lineRule="exact"/>
        <w:ind w:firstLine="643"/>
        <w:outlineLvl w:val="9"/>
        <w:rPr>
          <w:rFonts w:ascii="Times New Roman" w:hAnsi="Times New Roman"/>
          <w:color w:val="auto"/>
          <w:szCs w:val="32"/>
          <w:highlight w:val="none"/>
        </w:rPr>
      </w:pPr>
      <w:bookmarkStart w:id="441" w:name="_Toc22472"/>
      <w:bookmarkStart w:id="442" w:name="_Toc17025"/>
      <w:bookmarkStart w:id="443" w:name="_Toc11583"/>
      <w:r>
        <w:rPr>
          <w:rFonts w:ascii="Times New Roman" w:hAnsi="Times New Roman"/>
          <w:color w:val="auto"/>
          <w:szCs w:val="32"/>
          <w:highlight w:val="none"/>
        </w:rPr>
        <w:t>坚持保护与开发有机结合，</w:t>
      </w:r>
      <w:bookmarkEnd w:id="441"/>
      <w:bookmarkEnd w:id="442"/>
      <w:bookmarkEnd w:id="443"/>
      <w:r>
        <w:rPr>
          <w:rFonts w:ascii="Times New Roman" w:hAnsi="Times New Roman"/>
          <w:color w:val="auto"/>
          <w:szCs w:val="32"/>
          <w:highlight w:val="none"/>
        </w:rPr>
        <w:t>实施乡村记忆工程，加强村志村史编撰和整理，鼓励有条件的乡镇筹划建设一批民俗生态博物馆、特色展示馆，推进开善寺、云峰寺、新添古驿、姜家大院等历史文物古迹、传统村落保护，评选一批传统民居、传统街区、古村落、传统名镇以及民俗文化和民俗工艺传承人</w:t>
      </w:r>
      <w:r>
        <w:rPr>
          <w:rFonts w:hint="eastAsia" w:ascii="Times New Roman" w:hAnsi="Times New Roman"/>
          <w:color w:val="auto"/>
          <w:szCs w:val="32"/>
          <w:highlight w:val="none"/>
        </w:rPr>
        <w:t>。</w:t>
      </w:r>
      <w:r>
        <w:rPr>
          <w:rFonts w:ascii="Times New Roman" w:hAnsi="Times New Roman"/>
          <w:color w:val="auto"/>
          <w:szCs w:val="32"/>
          <w:highlight w:val="none"/>
        </w:rPr>
        <w:t>深入挖掘、创造性转化荥经县的茶马古道文化、红色文化、民族民俗文化等丰富的文化资源，盘活区域性、民族性特色文化资源</w:t>
      </w:r>
      <w:r>
        <w:rPr>
          <w:rFonts w:hint="eastAsia" w:ascii="Times New Roman" w:hAnsi="Times New Roman"/>
          <w:color w:val="auto"/>
          <w:szCs w:val="32"/>
          <w:highlight w:val="none"/>
        </w:rPr>
        <w:t>。</w:t>
      </w:r>
      <w:r>
        <w:rPr>
          <w:rFonts w:ascii="Times New Roman" w:hAnsi="Times New Roman"/>
          <w:color w:val="auto"/>
          <w:szCs w:val="32"/>
          <w:highlight w:val="none"/>
        </w:rPr>
        <w:t>挖掘乡村特色文化符号，依托荥经砂器、荥经竹号、荥经特色饮食、彝族火把节等非物质文化遗产，打造文化价值突出、民族特色浓郁、地域特色明显的传统村庄院落、民族特色村落。积极利用“互联网+”和现代高效物流网络，促进荥经乡村文化产业的品牌建设和传播。</w:t>
      </w:r>
    </w:p>
    <w:p>
      <w:pPr>
        <w:pStyle w:val="4"/>
        <w:keepLines w:val="0"/>
        <w:numPr>
          <w:ilvl w:val="1"/>
          <w:numId w:val="7"/>
        </w:numPr>
        <w:spacing w:before="312" w:beforeLines="100" w:after="312" w:afterLines="100" w:line="620" w:lineRule="exact"/>
        <w:jc w:val="center"/>
        <w:rPr>
          <w:rFonts w:ascii="Times New Roman" w:hAnsi="Times New Roman" w:cs="Times New Roman"/>
          <w:b/>
          <w:bCs/>
          <w:color w:val="auto"/>
          <w:highlight w:val="none"/>
        </w:rPr>
      </w:pPr>
      <w:bookmarkStart w:id="444" w:name="_Toc2258"/>
      <w:bookmarkStart w:id="445" w:name="_Toc75731196"/>
      <w:bookmarkStart w:id="446" w:name="_Toc23400"/>
      <w:bookmarkStart w:id="447" w:name="_Toc58328125"/>
      <w:bookmarkStart w:id="448" w:name="_Toc17550"/>
      <w:r>
        <w:rPr>
          <w:rFonts w:ascii="Times New Roman" w:hAnsi="Times New Roman" w:cs="Times New Roman"/>
          <w:b/>
          <w:bCs/>
          <w:color w:val="auto"/>
          <w:highlight w:val="none"/>
        </w:rPr>
        <w:t>促进乡村治理现代化</w:t>
      </w:r>
      <w:bookmarkEnd w:id="444"/>
      <w:bookmarkEnd w:id="445"/>
      <w:bookmarkEnd w:id="446"/>
      <w:bookmarkEnd w:id="447"/>
      <w:bookmarkEnd w:id="448"/>
    </w:p>
    <w:p>
      <w:pPr>
        <w:pStyle w:val="22"/>
        <w:snapToGrid w:val="0"/>
        <w:spacing w:line="560" w:lineRule="exact"/>
        <w:ind w:firstLine="643"/>
        <w:outlineLvl w:val="9"/>
        <w:rPr>
          <w:rFonts w:ascii="Times New Roman" w:hAnsi="Times New Roman"/>
          <w:color w:val="auto"/>
          <w:szCs w:val="32"/>
          <w:highlight w:val="none"/>
        </w:rPr>
      </w:pPr>
      <w:bookmarkStart w:id="449" w:name="_Toc2626"/>
      <w:bookmarkStart w:id="450" w:name="_Toc7838"/>
      <w:bookmarkStart w:id="451" w:name="_Toc6228"/>
      <w:r>
        <w:rPr>
          <w:rFonts w:hint="eastAsia" w:ascii="Times New Roman" w:hAnsi="Times New Roman"/>
          <w:color w:val="auto"/>
          <w:szCs w:val="32"/>
          <w:highlight w:val="none"/>
        </w:rPr>
        <w:t>大力推进农村</w:t>
      </w:r>
      <w:bookmarkEnd w:id="449"/>
      <w:bookmarkEnd w:id="450"/>
      <w:bookmarkEnd w:id="451"/>
      <w:r>
        <w:rPr>
          <w:rFonts w:hint="eastAsia" w:ascii="Times New Roman" w:hAnsi="Times New Roman"/>
          <w:b w:val="0"/>
          <w:bCs w:val="0"/>
          <w:color w:val="auto"/>
          <w:szCs w:val="32"/>
          <w:highlight w:val="none"/>
        </w:rPr>
        <w:t>“智治”</w:t>
      </w:r>
      <w:r>
        <w:rPr>
          <w:rFonts w:ascii="Times New Roman" w:hAnsi="Times New Roman"/>
          <w:color w:val="auto"/>
          <w:szCs w:val="32"/>
          <w:highlight w:val="none"/>
        </w:rPr>
        <w:t>，加快物联网、智能设备等现代信息技术与农村生产生活的全面深度融合，建立健全数据采集、应用、服务体系，加快推进涉农数据资源整合利用和共享开放。推动远程医疗、远程教育等应用普及，建立空间化、智能化的新型农村统计信息综合服务系统。完善以村党组织为领导核心、村民会议和村民代表会议为决策机构、村民委员会为管理执行机构、村务监督委员会为监督机构的村民自治组织体系，规范职责权限、监督内容、工作方式，推行村级事务阳光工程。深入开展基层民主法治示范村等创建活动，深化农村基层组织和部门、行业等多层次多领域的依法治理，开展“法律进乡村”宣传教育活动，推进法治乡村建设。推进“雪亮工程”建设，深入推进平安乡村（社区）建设</w:t>
      </w:r>
      <w:r>
        <w:rPr>
          <w:rFonts w:hint="eastAsia" w:ascii="Times New Roman" w:hAnsi="Times New Roman"/>
          <w:color w:val="auto"/>
          <w:szCs w:val="32"/>
          <w:highlight w:val="none"/>
        </w:rPr>
        <w:t>。</w:t>
      </w:r>
      <w:r>
        <w:rPr>
          <w:rFonts w:ascii="Times New Roman" w:hAnsi="Times New Roman"/>
          <w:color w:val="auto"/>
          <w:szCs w:val="32"/>
          <w:highlight w:val="none"/>
        </w:rPr>
        <w:t>实施公民道德建设工程，完善村规民约、居民公约等，建立道德激励约束机制和道德评议机制。深入宣传道德模范、身边好人的典型事迹，建设新乡贤文化。</w:t>
      </w:r>
    </w:p>
    <w:p>
      <w:pPr>
        <w:pStyle w:val="22"/>
        <w:snapToGrid w:val="0"/>
        <w:spacing w:before="156" w:beforeLines="50" w:after="156" w:afterLines="50" w:line="580" w:lineRule="exact"/>
        <w:ind w:firstLine="0" w:firstLineChars="0"/>
        <w:jc w:val="center"/>
        <w:rPr>
          <w:rFonts w:ascii="Times New Roman" w:hAnsi="Times New Roman" w:eastAsia="黑体"/>
          <w:b/>
          <w:bCs/>
          <w:color w:val="auto"/>
          <w:sz w:val="28"/>
          <w:szCs w:val="28"/>
          <w:highlight w:val="none"/>
          <w:shd w:val="clear" w:color="auto" w:fill="FFFFFF"/>
        </w:rPr>
      </w:pPr>
      <w:r>
        <w:rPr>
          <w:rFonts w:ascii="Times New Roman" w:hAnsi="Times New Roman" w:eastAsia="黑体"/>
          <w:b/>
          <w:bCs/>
          <w:color w:val="auto"/>
          <w:sz w:val="28"/>
          <w:szCs w:val="28"/>
          <w:highlight w:val="none"/>
          <w:shd w:val="clear" w:color="auto" w:fill="FFFFFF"/>
        </w:rPr>
        <w:t>专栏14  绿美荥经·宜居乡村重点工程</w:t>
      </w:r>
    </w:p>
    <w:tbl>
      <w:tblPr>
        <w:tblStyle w:val="1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tcBorders>
              <w:top w:val="single" w:color="auto" w:sz="4" w:space="0"/>
              <w:left w:val="single" w:color="auto" w:sz="4" w:space="0"/>
              <w:bottom w:val="single" w:color="auto" w:sz="4" w:space="0"/>
              <w:right w:val="single" w:color="auto" w:sz="4" w:space="0"/>
            </w:tcBorders>
          </w:tcPr>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lang w:val="sq-AL"/>
              </w:rPr>
            </w:pPr>
            <w:r>
              <w:rPr>
                <w:rFonts w:ascii="Times New Roman" w:hAnsi="Times New Roman" w:eastAsia="楷体_GB2312" w:cs="Times New Roman"/>
                <w:b/>
                <w:bCs/>
                <w:color w:val="auto"/>
                <w:sz w:val="28"/>
                <w:szCs w:val="28"/>
                <w:highlight w:val="none"/>
                <w:shd w:val="clear" w:color="auto" w:fill="FFFFFF"/>
              </w:rPr>
              <w:t xml:space="preserve">01 </w:t>
            </w:r>
            <w:r>
              <w:rPr>
                <w:rFonts w:ascii="Times New Roman" w:hAnsi="Times New Roman" w:eastAsia="楷体_GB2312" w:cs="Times New Roman"/>
                <w:b/>
                <w:bCs/>
                <w:color w:val="auto"/>
                <w:sz w:val="28"/>
                <w:szCs w:val="28"/>
                <w:highlight w:val="none"/>
                <w:shd w:val="clear" w:color="auto" w:fill="FFFFFF"/>
                <w:lang w:val="sq-AL"/>
              </w:rPr>
              <w:t>农村人居环境整治行动</w:t>
            </w:r>
          </w:p>
          <w:p>
            <w:pPr>
              <w:pStyle w:val="22"/>
              <w:snapToGrid w:val="0"/>
              <w:spacing w:line="500" w:lineRule="exact"/>
              <w:ind w:left="307" w:leftChars="146" w:firstLine="0" w:firstLineChars="0"/>
              <w:rPr>
                <w:rFonts w:ascii="Times New Roman" w:hAnsi="Times New Roman"/>
                <w:color w:val="auto"/>
                <w:sz w:val="28"/>
                <w:szCs w:val="28"/>
                <w:highlight w:val="none"/>
                <w:lang w:val="sq-AL"/>
              </w:rPr>
            </w:pPr>
            <w:r>
              <w:rPr>
                <w:rFonts w:ascii="Times New Roman" w:hAnsi="Times New Roman"/>
                <w:color w:val="auto"/>
                <w:sz w:val="28"/>
                <w:szCs w:val="28"/>
                <w:highlight w:val="none"/>
                <w:lang w:val="sq-AL"/>
              </w:rPr>
              <w:t>分类有序新（改）建农村无害化卫生厕所，持续提升农村生活垃圾分类处理“高岗村模式”，深入推进农村生活污水治理，加强农村人居环境整治，补齐农村基础设施短板，持续改善农村面貌。到2025年，所有行政村生活垃圾得到有效治理，生活垃圾减量化、资源化、无害化水平显著提高；75%以上的行政村生活污水得到有效治理；基本完成涉改村农村厕所建设；畜禽粪污资源化利用率达到80%以上；秸秆综合利用率达到95%。</w:t>
            </w:r>
          </w:p>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rPr>
            </w:pPr>
            <w:r>
              <w:rPr>
                <w:rFonts w:ascii="Times New Roman" w:hAnsi="Times New Roman" w:eastAsia="楷体_GB2312" w:cs="Times New Roman"/>
                <w:b/>
                <w:bCs/>
                <w:color w:val="auto"/>
                <w:sz w:val="28"/>
                <w:szCs w:val="28"/>
                <w:highlight w:val="none"/>
                <w:shd w:val="clear" w:color="auto" w:fill="FFFFFF"/>
              </w:rPr>
              <w:t xml:space="preserve">02 </w:t>
            </w:r>
            <w:r>
              <w:rPr>
                <w:rFonts w:ascii="Times New Roman" w:hAnsi="Times New Roman" w:eastAsia="楷体_GB2312" w:cs="Times New Roman"/>
                <w:b/>
                <w:bCs/>
                <w:color w:val="auto"/>
                <w:sz w:val="28"/>
                <w:szCs w:val="28"/>
                <w:highlight w:val="none"/>
                <w:shd w:val="clear" w:color="auto" w:fill="FFFFFF"/>
                <w:lang w:val="sq-AL"/>
              </w:rPr>
              <w:t>乡村振兴战略示范村</w:t>
            </w:r>
            <w:r>
              <w:rPr>
                <w:rFonts w:hint="eastAsia" w:ascii="Times New Roman" w:hAnsi="Times New Roman" w:eastAsia="楷体_GB2312" w:cs="Times New Roman"/>
                <w:b/>
                <w:bCs/>
                <w:color w:val="auto"/>
                <w:sz w:val="28"/>
                <w:szCs w:val="28"/>
                <w:highlight w:val="none"/>
                <w:shd w:val="clear" w:color="auto" w:fill="FFFFFF"/>
              </w:rPr>
              <w:t>建设</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lang w:val="sq-AL"/>
              </w:rPr>
              <w:t>全面提升产业基础、农村人居环境和村风文明</w:t>
            </w:r>
            <w:r>
              <w:rPr>
                <w:rFonts w:hint="eastAsia" w:ascii="Times New Roman" w:hAnsi="Times New Roman"/>
                <w:color w:val="auto"/>
                <w:sz w:val="28"/>
                <w:szCs w:val="28"/>
                <w:highlight w:val="none"/>
                <w:lang w:val="sq-AL" w:eastAsia="zh-CN"/>
              </w:rPr>
              <w:t>，</w:t>
            </w:r>
            <w:r>
              <w:rPr>
                <w:rFonts w:ascii="Times New Roman" w:hAnsi="Times New Roman"/>
                <w:color w:val="auto"/>
                <w:sz w:val="28"/>
                <w:szCs w:val="28"/>
                <w:highlight w:val="none"/>
                <w:lang w:val="sq-AL"/>
              </w:rPr>
              <w:t>打造绿色高质量产业示范基地，建设省级实施乡村振兴战略示范村1个、市级4个，配套完善提升乡村旅游基础设施等。</w:t>
            </w:r>
          </w:p>
        </w:tc>
      </w:tr>
    </w:tbl>
    <w:p>
      <w:pPr>
        <w:pStyle w:val="22"/>
        <w:snapToGrid w:val="0"/>
        <w:spacing w:line="560" w:lineRule="exact"/>
        <w:ind w:firstLine="640"/>
        <w:outlineLvl w:val="9"/>
        <w:rPr>
          <w:rFonts w:ascii="Times New Roman" w:hAnsi="Times New Roman"/>
          <w:color w:val="auto"/>
          <w:szCs w:val="32"/>
          <w:highlight w:val="none"/>
        </w:rPr>
      </w:pPr>
    </w:p>
    <w:p>
      <w:pPr>
        <w:pStyle w:val="22"/>
        <w:snapToGrid w:val="0"/>
        <w:spacing w:line="560" w:lineRule="exact"/>
        <w:ind w:firstLine="640"/>
        <w:rPr>
          <w:rFonts w:ascii="Times New Roman" w:hAnsi="Times New Roman"/>
          <w:color w:val="auto"/>
          <w:szCs w:val="32"/>
          <w:highlight w:val="none"/>
        </w:rPr>
        <w:sectPr>
          <w:pgSz w:w="11906" w:h="16838"/>
          <w:pgMar w:top="1440" w:right="1797" w:bottom="1440" w:left="1797" w:header="851" w:footer="992" w:gutter="0"/>
          <w:cols w:space="425" w:num="1"/>
          <w:docGrid w:type="lines" w:linePitch="312" w:charSpace="0"/>
        </w:sectPr>
      </w:pPr>
    </w:p>
    <w:bookmarkEnd w:id="420"/>
    <w:p>
      <w:pPr>
        <w:numPr>
          <w:ilvl w:val="0"/>
          <w:numId w:val="1"/>
        </w:numPr>
        <w:spacing w:line="620" w:lineRule="exact"/>
        <w:jc w:val="center"/>
        <w:outlineLvl w:val="0"/>
        <w:rPr>
          <w:rFonts w:ascii="Times New Roman" w:hAnsi="Times New Roman" w:eastAsia="方正小标宋简体" w:cs="Times New Roman"/>
          <w:b/>
          <w:bCs/>
          <w:color w:val="auto"/>
          <w:sz w:val="44"/>
          <w:szCs w:val="44"/>
          <w:highlight w:val="none"/>
        </w:rPr>
      </w:pPr>
      <w:bookmarkStart w:id="452" w:name="_Toc75731197"/>
      <w:bookmarkEnd w:id="452"/>
      <w:bookmarkStart w:id="453" w:name="_Toc3091"/>
      <w:bookmarkStart w:id="454" w:name="_Toc75731231"/>
      <w:bookmarkStart w:id="455" w:name="_Toc21465"/>
      <w:bookmarkStart w:id="456" w:name="_Toc9678"/>
      <w:r>
        <w:rPr>
          <w:rFonts w:ascii="Times New Roman" w:hAnsi="Times New Roman" w:eastAsia="方正小标宋简体" w:cs="Times New Roman"/>
          <w:b/>
          <w:bCs/>
          <w:color w:val="auto"/>
          <w:sz w:val="44"/>
          <w:szCs w:val="44"/>
          <w:highlight w:val="none"/>
        </w:rPr>
        <w:t>巩固脱贫成果同农业农村现代化有效衔接</w:t>
      </w:r>
      <w:bookmarkEnd w:id="453"/>
      <w:bookmarkEnd w:id="454"/>
    </w:p>
    <w:p>
      <w:pPr>
        <w:pStyle w:val="7"/>
        <w:spacing w:after="0" w:line="560" w:lineRule="exact"/>
        <w:ind w:firstLine="640" w:firstLineChars="200"/>
        <w:rPr>
          <w:rFonts w:ascii="Times New Roman" w:hAnsi="Times New Roman" w:eastAsia="仿宋_GB2312" w:cs="Times New Roman"/>
          <w:bCs/>
          <w:color w:val="auto"/>
          <w:sz w:val="32"/>
          <w:szCs w:val="32"/>
          <w:highlight w:val="none"/>
        </w:rPr>
      </w:pPr>
    </w:p>
    <w:p>
      <w:pPr>
        <w:pStyle w:val="7"/>
        <w:spacing w:after="0" w:line="560" w:lineRule="exact"/>
        <w:ind w:firstLine="640" w:firstLineChars="200"/>
        <w:rPr>
          <w:rFonts w:ascii="Times New Roman" w:hAnsi="Times New Roman" w:eastAsia="仿宋_GB2312" w:cs="Times New Roman"/>
          <w:bCs/>
          <w:color w:val="auto"/>
          <w:sz w:val="32"/>
          <w:szCs w:val="32"/>
          <w:highlight w:val="none"/>
        </w:rPr>
      </w:pPr>
      <w:r>
        <w:rPr>
          <w:rFonts w:ascii="Times New Roman" w:hAnsi="Times New Roman" w:eastAsia="仿宋_GB2312" w:cs="Times New Roman"/>
          <w:bCs/>
          <w:color w:val="auto"/>
          <w:sz w:val="32"/>
          <w:szCs w:val="32"/>
          <w:highlight w:val="none"/>
        </w:rPr>
        <w:t>建立</w:t>
      </w:r>
      <w:r>
        <w:rPr>
          <w:rFonts w:hint="eastAsia" w:ascii="Times New Roman" w:hAnsi="Times New Roman" w:eastAsia="仿宋_GB2312" w:cs="Times New Roman"/>
          <w:bCs/>
          <w:color w:val="auto"/>
          <w:sz w:val="32"/>
          <w:szCs w:val="32"/>
          <w:highlight w:val="none"/>
        </w:rPr>
        <w:t>健全</w:t>
      </w:r>
      <w:r>
        <w:rPr>
          <w:rFonts w:ascii="Times New Roman" w:hAnsi="Times New Roman" w:eastAsia="仿宋_GB2312" w:cs="Times New Roman"/>
          <w:bCs/>
          <w:color w:val="auto"/>
          <w:sz w:val="32"/>
          <w:szCs w:val="32"/>
          <w:highlight w:val="none"/>
        </w:rPr>
        <w:t>巩固脱贫攻坚成果长效机制，健全农村低收入人口常态化分类帮扶机制，优化调整帮扶工作机制，推进脱贫摘帽地区乡村全面振兴。</w:t>
      </w:r>
    </w:p>
    <w:p>
      <w:pPr>
        <w:pStyle w:val="4"/>
        <w:keepLines w:val="0"/>
        <w:numPr>
          <w:ilvl w:val="1"/>
          <w:numId w:val="8"/>
        </w:numPr>
        <w:spacing w:before="312" w:beforeLines="100" w:after="312" w:afterLines="100" w:line="620" w:lineRule="exact"/>
        <w:jc w:val="center"/>
        <w:rPr>
          <w:rFonts w:ascii="Times New Roman" w:hAnsi="Times New Roman" w:cs="Times New Roman"/>
          <w:b/>
          <w:bCs/>
          <w:color w:val="auto"/>
          <w:highlight w:val="none"/>
        </w:rPr>
      </w:pPr>
      <w:bookmarkStart w:id="457" w:name="_Toc75731232"/>
      <w:bookmarkStart w:id="458" w:name="_Toc29694"/>
      <w:r>
        <w:rPr>
          <w:rFonts w:ascii="Times New Roman" w:hAnsi="Times New Roman" w:cs="Times New Roman"/>
          <w:b/>
          <w:bCs/>
          <w:color w:val="auto"/>
          <w:highlight w:val="none"/>
        </w:rPr>
        <w:t>推进规划的有效衔接</w:t>
      </w:r>
      <w:bookmarkEnd w:id="457"/>
      <w:bookmarkEnd w:id="458"/>
    </w:p>
    <w:p>
      <w:pPr>
        <w:pStyle w:val="7"/>
        <w:autoSpaceDE w:val="0"/>
        <w:adjustRightInd w:val="0"/>
        <w:snapToGrid w:val="0"/>
        <w:spacing w:after="0"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将实施脱贫行动与现代农业农村现代化有机衔接起来，将脱贫后待完成的任务、工程、项目等内容纳入现代农业农村现代化规划，不搞重复建设，尽可能减少资源浪费。以村级建制调整改革为基础，通盘考虑土地利用、产业发展、生态保护和历史文化传承等因素，高水平高质量编制好县、乡、村三级空间规划，</w:t>
      </w:r>
      <w:r>
        <w:rPr>
          <w:rFonts w:ascii="Times New Roman" w:hAnsi="Times New Roman" w:eastAsia="仿宋_GB2312" w:cs="Times New Roman"/>
          <w:color w:val="auto"/>
          <w:sz w:val="32"/>
          <w:szCs w:val="32"/>
          <w:highlight w:val="none"/>
          <w:shd w:val="clear" w:color="auto" w:fill="FFFFFF"/>
        </w:rPr>
        <w:t>解决现有各类规划自成体系、内容冲突、缺乏衔接等问题，实现</w:t>
      </w:r>
      <w:r>
        <w:rPr>
          <w:rFonts w:ascii="Times New Roman" w:hAnsi="Times New Roman" w:eastAsia="仿宋_GB2312" w:cs="Times New Roman"/>
          <w:color w:val="auto"/>
          <w:sz w:val="32"/>
          <w:szCs w:val="32"/>
          <w:highlight w:val="none"/>
        </w:rPr>
        <w:t>现代农业农村现代化</w:t>
      </w:r>
      <w:r>
        <w:rPr>
          <w:rFonts w:ascii="Times New Roman" w:hAnsi="Times New Roman" w:eastAsia="仿宋_GB2312" w:cs="Times New Roman"/>
          <w:color w:val="auto"/>
          <w:sz w:val="32"/>
          <w:szCs w:val="32"/>
          <w:highlight w:val="none"/>
          <w:shd w:val="clear" w:color="auto" w:fill="FFFFFF"/>
        </w:rPr>
        <w:t>与脱贫攻坚“同频共振”。</w:t>
      </w:r>
    </w:p>
    <w:p>
      <w:pPr>
        <w:pStyle w:val="4"/>
        <w:keepLines w:val="0"/>
        <w:numPr>
          <w:ilvl w:val="1"/>
          <w:numId w:val="8"/>
        </w:numPr>
        <w:spacing w:before="312" w:beforeLines="100" w:after="312" w:afterLines="100" w:line="620" w:lineRule="exact"/>
        <w:jc w:val="center"/>
        <w:rPr>
          <w:rFonts w:ascii="Times New Roman" w:hAnsi="Times New Roman" w:cs="Times New Roman"/>
          <w:b/>
          <w:bCs/>
          <w:color w:val="auto"/>
          <w:highlight w:val="none"/>
        </w:rPr>
      </w:pPr>
      <w:bookmarkStart w:id="459" w:name="_Toc75731233"/>
      <w:bookmarkStart w:id="460" w:name="_Toc10341"/>
      <w:r>
        <w:rPr>
          <w:rFonts w:ascii="Times New Roman" w:hAnsi="Times New Roman" w:cs="Times New Roman"/>
          <w:b/>
          <w:bCs/>
          <w:color w:val="auto"/>
          <w:highlight w:val="none"/>
        </w:rPr>
        <w:t>推进政策的有效衔接</w:t>
      </w:r>
      <w:bookmarkEnd w:id="459"/>
      <w:bookmarkEnd w:id="460"/>
    </w:p>
    <w:p>
      <w:pPr>
        <w:pStyle w:val="7"/>
        <w:autoSpaceDE w:val="0"/>
        <w:adjustRightInd w:val="0"/>
        <w:snapToGrid w:val="0"/>
        <w:spacing w:after="0"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加强政策衔接，统筹脱贫攻坚和农村综合改革的政策，制定过渡期政策，对退出的贫困村、贫困人口，严格落实“四个不摘”要求。分类确定需要取消的、接续的、完善的政策，研究现行倾斜性支持政策的延续时限与脱钩方法。适应从脱贫攻坚向现代农业农村现代化的转变，将单纯针对特贫农户的扶持政策，转变为乡村低收入群体的常态化扶持政策转变政策供给方式，促进特惠性政策向常规性、普惠性和长效性转变，避免“政策悬崖”问题的出现。推动脱贫攻坚中出台的金融、土地、教育、医疗、社保、救助等扶持政策转化为推进现代农业农村现代化的扶持政策，增强政策的延续性和扩展性。</w:t>
      </w:r>
    </w:p>
    <w:p>
      <w:pPr>
        <w:pStyle w:val="4"/>
        <w:keepLines w:val="0"/>
        <w:numPr>
          <w:ilvl w:val="1"/>
          <w:numId w:val="8"/>
        </w:numPr>
        <w:spacing w:before="312" w:beforeLines="100" w:after="312" w:afterLines="100" w:line="620" w:lineRule="exact"/>
        <w:jc w:val="center"/>
        <w:rPr>
          <w:rFonts w:ascii="Times New Roman" w:hAnsi="Times New Roman" w:cs="Times New Roman"/>
          <w:b/>
          <w:bCs/>
          <w:color w:val="auto"/>
          <w:highlight w:val="none"/>
        </w:rPr>
      </w:pPr>
      <w:bookmarkStart w:id="461" w:name="_Toc75731234"/>
      <w:bookmarkStart w:id="462" w:name="_Toc30954"/>
      <w:r>
        <w:rPr>
          <w:rFonts w:ascii="Times New Roman" w:hAnsi="Times New Roman" w:cs="Times New Roman"/>
          <w:b/>
          <w:bCs/>
          <w:color w:val="auto"/>
          <w:highlight w:val="none"/>
        </w:rPr>
        <w:t>推进机制的有效衔接</w:t>
      </w:r>
      <w:bookmarkEnd w:id="461"/>
      <w:bookmarkEnd w:id="462"/>
    </w:p>
    <w:p>
      <w:pPr>
        <w:pStyle w:val="7"/>
        <w:autoSpaceDE w:val="0"/>
        <w:adjustRightInd w:val="0"/>
        <w:snapToGrid w:val="0"/>
        <w:spacing w:after="0"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探索建立责任体系、监督体系、考核评估体系等在内的制度体系，建立防范返贫和新生贫困、解决次生贫困和相对贫困的巩固脱贫成果长效工作机制。持续抓好村干部、党员、致富带头人、产业技术专家、高素质农民等人才队伍建设，优化职能职责、统筹资源配置，为现代农业农村现代化打造一支“不走的工作队”。</w:t>
      </w:r>
    </w:p>
    <w:p>
      <w:pPr>
        <w:pStyle w:val="4"/>
        <w:keepLines w:val="0"/>
        <w:numPr>
          <w:ilvl w:val="1"/>
          <w:numId w:val="8"/>
        </w:numPr>
        <w:spacing w:before="312" w:beforeLines="100" w:after="312" w:afterLines="100" w:line="620" w:lineRule="exact"/>
        <w:jc w:val="center"/>
        <w:rPr>
          <w:rFonts w:ascii="Times New Roman" w:hAnsi="Times New Roman" w:cs="Times New Roman"/>
          <w:b/>
          <w:bCs/>
          <w:color w:val="auto"/>
          <w:highlight w:val="none"/>
        </w:rPr>
      </w:pPr>
      <w:bookmarkStart w:id="463" w:name="_Toc26521"/>
      <w:bookmarkStart w:id="464" w:name="_Toc75731235"/>
      <w:r>
        <w:rPr>
          <w:rFonts w:ascii="Times New Roman" w:hAnsi="Times New Roman" w:cs="Times New Roman"/>
          <w:b/>
          <w:bCs/>
          <w:color w:val="auto"/>
          <w:highlight w:val="none"/>
        </w:rPr>
        <w:t>推进产业的有效衔接</w:t>
      </w:r>
      <w:bookmarkEnd w:id="463"/>
      <w:bookmarkEnd w:id="464"/>
    </w:p>
    <w:p>
      <w:pPr>
        <w:pStyle w:val="7"/>
        <w:adjustRightInd w:val="0"/>
        <w:snapToGrid w:val="0"/>
        <w:spacing w:after="0" w:line="560" w:lineRule="exact"/>
        <w:ind w:firstLine="640" w:firstLineChars="200"/>
        <w:rPr>
          <w:rFonts w:ascii="Times New Roman" w:hAnsi="Times New Roman" w:eastAsia="仿宋" w:cs="Times New Roman"/>
          <w:color w:val="auto"/>
          <w:sz w:val="32"/>
          <w:szCs w:val="32"/>
          <w:highlight w:val="none"/>
        </w:rPr>
      </w:pPr>
      <w:r>
        <w:rPr>
          <w:rFonts w:ascii="Times New Roman" w:hAnsi="Times New Roman" w:eastAsia="仿宋_GB2312" w:cs="Times New Roman"/>
          <w:color w:val="auto"/>
          <w:sz w:val="32"/>
          <w:szCs w:val="32"/>
          <w:highlight w:val="none"/>
        </w:rPr>
        <w:t>继续围绕构建现代农业产业体系，以培育县域主导产业和优势产业为重点，巩固发展扶贫产业，进一步发展特色产业，推动农村产业同步向现代产业发展。以绿色生态为发展方向，继续完善产业基础设施，优化产业基地；延长农产品产业链，实现种植、加工、销售及一二三产业融合一体化，增加农业附加值；强化就业技能培训，探索农户与新型经营主体的利益联结机制，创建生产经营利益共同体，努力走出一条科学持续发展道路。</w:t>
      </w:r>
      <w:r>
        <w:rPr>
          <w:rFonts w:ascii="Times New Roman" w:hAnsi="Times New Roman" w:eastAsia="黑体" w:cs="Times New Roman"/>
          <w:color w:val="auto"/>
          <w:sz w:val="36"/>
          <w:szCs w:val="36"/>
          <w:highlight w:val="none"/>
        </w:rPr>
        <w:br w:type="page"/>
      </w:r>
    </w:p>
    <w:p>
      <w:pPr>
        <w:numPr>
          <w:ilvl w:val="0"/>
          <w:numId w:val="1"/>
        </w:numPr>
        <w:spacing w:line="620" w:lineRule="exact"/>
        <w:jc w:val="center"/>
        <w:outlineLvl w:val="0"/>
        <w:rPr>
          <w:rFonts w:ascii="Times New Roman" w:hAnsi="Times New Roman" w:eastAsia="方正小标宋简体" w:cs="Times New Roman"/>
          <w:b/>
          <w:bCs/>
          <w:color w:val="auto"/>
          <w:sz w:val="44"/>
          <w:szCs w:val="44"/>
          <w:highlight w:val="none"/>
        </w:rPr>
      </w:pPr>
      <w:bookmarkStart w:id="465" w:name="_Toc16005"/>
      <w:bookmarkStart w:id="466" w:name="_Toc75731236"/>
      <w:r>
        <w:rPr>
          <w:rFonts w:ascii="Times New Roman" w:hAnsi="Times New Roman" w:eastAsia="方正小标宋简体" w:cs="Times New Roman"/>
          <w:b/>
          <w:bCs/>
          <w:color w:val="auto"/>
          <w:sz w:val="44"/>
          <w:szCs w:val="44"/>
          <w:highlight w:val="none"/>
        </w:rPr>
        <w:t>全面深化农业农村改革，增强农村发展活力</w:t>
      </w:r>
      <w:bookmarkEnd w:id="455"/>
      <w:bookmarkEnd w:id="456"/>
      <w:bookmarkEnd w:id="465"/>
      <w:bookmarkEnd w:id="466"/>
    </w:p>
    <w:p>
      <w:pPr>
        <w:pStyle w:val="7"/>
        <w:spacing w:after="0" w:line="560" w:lineRule="exact"/>
        <w:ind w:firstLine="640" w:firstLineChars="200"/>
        <w:rPr>
          <w:rFonts w:ascii="Times New Roman" w:hAnsi="Times New Roman" w:eastAsia="仿宋_GB2312" w:cs="Times New Roman"/>
          <w:color w:val="auto"/>
          <w:sz w:val="32"/>
          <w:szCs w:val="22"/>
          <w:highlight w:val="none"/>
        </w:rPr>
      </w:pPr>
    </w:p>
    <w:p>
      <w:pPr>
        <w:pStyle w:val="7"/>
        <w:spacing w:line="560" w:lineRule="exact"/>
        <w:ind w:firstLine="640" w:firstLineChars="200"/>
        <w:rPr>
          <w:rFonts w:ascii="Times New Roman" w:hAnsi="Times New Roman" w:cs="Times New Roman"/>
          <w:b/>
          <w:bCs/>
          <w:color w:val="auto"/>
          <w:szCs w:val="32"/>
          <w:highlight w:val="none"/>
        </w:rPr>
      </w:pPr>
      <w:r>
        <w:rPr>
          <w:rFonts w:ascii="Times New Roman" w:hAnsi="Times New Roman" w:eastAsia="仿宋_GB2312" w:cs="Times New Roman"/>
          <w:color w:val="auto"/>
          <w:sz w:val="32"/>
          <w:szCs w:val="22"/>
          <w:highlight w:val="none"/>
        </w:rPr>
        <w:t>深化农业农村改革，打通城乡要素市场化配置体制机制障碍，推动城乡要素平等交换、双向流动，缩小城乡发展差距，加快城乡融合发展，增强农业农村发展活力。</w:t>
      </w:r>
    </w:p>
    <w:p>
      <w:pPr>
        <w:pStyle w:val="4"/>
        <w:keepLines w:val="0"/>
        <w:numPr>
          <w:ilvl w:val="1"/>
          <w:numId w:val="9"/>
        </w:numPr>
        <w:spacing w:before="312" w:beforeLines="100" w:after="312" w:afterLines="100" w:line="620" w:lineRule="exact"/>
        <w:jc w:val="center"/>
        <w:rPr>
          <w:rFonts w:ascii="Times New Roman" w:hAnsi="Times New Roman" w:cs="Times New Roman"/>
          <w:b/>
          <w:bCs/>
          <w:color w:val="auto"/>
          <w:highlight w:val="none"/>
        </w:rPr>
      </w:pPr>
      <w:bookmarkStart w:id="467" w:name="_Toc17865"/>
      <w:bookmarkStart w:id="468" w:name="_Toc29186"/>
      <w:bookmarkStart w:id="469" w:name="_Toc17938"/>
      <w:bookmarkStart w:id="470" w:name="_Toc75731237"/>
      <w:r>
        <w:rPr>
          <w:rFonts w:ascii="Times New Roman" w:hAnsi="Times New Roman" w:cs="Times New Roman"/>
          <w:b/>
          <w:bCs/>
          <w:color w:val="auto"/>
          <w:highlight w:val="none"/>
        </w:rPr>
        <w:t>深化农村土地制度改革</w:t>
      </w:r>
      <w:bookmarkEnd w:id="467"/>
      <w:bookmarkEnd w:id="468"/>
      <w:bookmarkEnd w:id="469"/>
      <w:bookmarkEnd w:id="470"/>
    </w:p>
    <w:p>
      <w:pPr>
        <w:pStyle w:val="22"/>
        <w:snapToGrid w:val="0"/>
        <w:spacing w:line="560" w:lineRule="exact"/>
        <w:ind w:firstLine="643"/>
        <w:outlineLvl w:val="9"/>
        <w:rPr>
          <w:rFonts w:ascii="Times New Roman" w:hAnsi="Times New Roman"/>
          <w:color w:val="auto"/>
          <w:szCs w:val="32"/>
          <w:highlight w:val="none"/>
        </w:rPr>
      </w:pPr>
      <w:r>
        <w:rPr>
          <w:rFonts w:ascii="Times New Roman" w:hAnsi="Times New Roman"/>
          <w:color w:val="auto"/>
          <w:szCs w:val="32"/>
          <w:highlight w:val="none"/>
        </w:rPr>
        <w:t>坚持现有土地承包关系稳定并长久不变，落实第二轮土地承包到期后再延长30年政策。完善土地经营权流转规范管理相关制度，加强土地规模经营管理和服务，加强农村土地承包经营纠纷调解仲裁能力建设。鼓励农村集体经济组织及其成员盘活利用闲置宅基地、房屋。合理划定农民住宅建设用地范围，严格确定宅基地面积标准</w:t>
      </w:r>
      <w:r>
        <w:rPr>
          <w:rFonts w:hint="eastAsia" w:ascii="Times New Roman" w:hAnsi="Times New Roman"/>
          <w:color w:val="auto"/>
          <w:szCs w:val="32"/>
          <w:highlight w:val="none"/>
        </w:rPr>
        <w:t>，</w:t>
      </w:r>
      <w:r>
        <w:rPr>
          <w:rFonts w:ascii="Times New Roman" w:hAnsi="Times New Roman"/>
          <w:color w:val="auto"/>
          <w:szCs w:val="32"/>
          <w:highlight w:val="none"/>
        </w:rPr>
        <w:t>规范宅基地审批程序。优化村庄用地布局，指导有条件的地方积极稳妥地开展“空心村”治理和旧村改造。探索农村集体经营性建设用地入市，探索依法把有偿收回的闲置宅基地、废弃的集体公益性建设用地转变为集体经营性建设用地入市，推进集体经营性建设用地使用权和地上建筑物所有权房地一体，鼓励农村集体经济组织依法以集体经营性建设用地使用权入股、联营等形式经营农业产业。</w:t>
      </w:r>
    </w:p>
    <w:p>
      <w:pPr>
        <w:pStyle w:val="4"/>
        <w:keepLines w:val="0"/>
        <w:numPr>
          <w:ilvl w:val="1"/>
          <w:numId w:val="9"/>
        </w:numPr>
        <w:spacing w:before="312" w:beforeLines="100" w:after="312" w:afterLines="100" w:line="620" w:lineRule="exact"/>
        <w:jc w:val="center"/>
        <w:rPr>
          <w:rFonts w:ascii="Times New Roman" w:hAnsi="Times New Roman" w:cs="Times New Roman"/>
          <w:b/>
          <w:bCs/>
          <w:color w:val="auto"/>
          <w:highlight w:val="none"/>
        </w:rPr>
      </w:pPr>
      <w:bookmarkStart w:id="471" w:name="_Toc75731238"/>
      <w:bookmarkStart w:id="472" w:name="_Toc17130"/>
      <w:bookmarkStart w:id="473" w:name="_Toc27928"/>
      <w:bookmarkStart w:id="474" w:name="_Toc2685"/>
      <w:r>
        <w:rPr>
          <w:rFonts w:ascii="Times New Roman" w:hAnsi="Times New Roman" w:cs="Times New Roman"/>
          <w:b/>
          <w:bCs/>
          <w:color w:val="auto"/>
          <w:highlight w:val="none"/>
        </w:rPr>
        <w:t>发展壮大农村集体经济</w:t>
      </w:r>
      <w:bookmarkEnd w:id="471"/>
      <w:bookmarkEnd w:id="472"/>
      <w:bookmarkEnd w:id="473"/>
      <w:bookmarkEnd w:id="474"/>
    </w:p>
    <w:p>
      <w:pPr>
        <w:pStyle w:val="22"/>
        <w:snapToGrid w:val="0"/>
        <w:spacing w:line="560" w:lineRule="exact"/>
        <w:ind w:firstLine="643"/>
        <w:outlineLvl w:val="9"/>
        <w:rPr>
          <w:rFonts w:ascii="Times New Roman" w:hAnsi="Times New Roman"/>
          <w:color w:val="auto"/>
          <w:szCs w:val="32"/>
          <w:highlight w:val="none"/>
        </w:rPr>
      </w:pPr>
      <w:bookmarkStart w:id="475" w:name="_Toc19746"/>
      <w:bookmarkStart w:id="476" w:name="_Toc12987"/>
      <w:r>
        <w:rPr>
          <w:rFonts w:hint="eastAsia" w:ascii="Times New Roman" w:hAnsi="Times New Roman"/>
          <w:color w:val="auto"/>
          <w:szCs w:val="32"/>
          <w:highlight w:val="none"/>
        </w:rPr>
        <w:t>深入推进农村集体产权制度改革，积极探索建立集体经济运行新机制。</w:t>
      </w:r>
      <w:r>
        <w:rPr>
          <w:rFonts w:hint="eastAsia" w:ascii="Times New Roman" w:hAnsi="Times New Roman"/>
          <w:b w:val="0"/>
          <w:bCs w:val="0"/>
          <w:color w:val="auto"/>
          <w:szCs w:val="32"/>
          <w:highlight w:val="none"/>
        </w:rPr>
        <w:t>全面</w:t>
      </w:r>
      <w:bookmarkEnd w:id="475"/>
      <w:bookmarkEnd w:id="476"/>
      <w:r>
        <w:rPr>
          <w:rFonts w:ascii="Times New Roman" w:hAnsi="Times New Roman"/>
          <w:color w:val="auto"/>
          <w:szCs w:val="32"/>
          <w:highlight w:val="none"/>
        </w:rPr>
        <w:t>清查核实集体所有的各类资产，</w:t>
      </w:r>
      <w:r>
        <w:rPr>
          <w:rFonts w:hint="eastAsia" w:ascii="Times New Roman" w:hAnsi="Times New Roman"/>
          <w:color w:val="auto"/>
          <w:szCs w:val="32"/>
          <w:highlight w:val="none"/>
        </w:rPr>
        <w:t>规范建立农村集体经济组织，依法赋予市场主体资格。</w:t>
      </w:r>
      <w:r>
        <w:rPr>
          <w:rFonts w:ascii="Times New Roman" w:hAnsi="Times New Roman"/>
          <w:color w:val="auto"/>
          <w:szCs w:val="32"/>
          <w:highlight w:val="none"/>
        </w:rPr>
        <w:t>推进经营性资产股份合作制改革，健全农村产权流转交易市场。加大支持和鼓励新型农村集体经济发展的配套政策扶持力度，开展村企资源对接、合作开发，鼓励返乡创业人员带项目回乡创业。加快家庭经营向采用先进科技和生产手段方向转变，推动以农村集体经济组织为龙头，领办创办各类服务实体，推动生产、供销、信用“三位一体，鼓励以自主开发、合资合作、投资</w:t>
      </w:r>
      <w:r>
        <w:rPr>
          <w:rFonts w:hint="eastAsia" w:ascii="Times New Roman" w:hAnsi="Times New Roman"/>
          <w:color w:val="auto"/>
          <w:szCs w:val="32"/>
          <w:highlight w:val="none"/>
          <w:lang w:eastAsia="zh-CN"/>
        </w:rPr>
        <w:t>入</w:t>
      </w:r>
      <w:r>
        <w:rPr>
          <w:rFonts w:ascii="Times New Roman" w:hAnsi="Times New Roman"/>
          <w:color w:val="auto"/>
          <w:szCs w:val="32"/>
          <w:highlight w:val="none"/>
        </w:rPr>
        <w:t>股和就业参与等方式发展农村新产业新业态。</w:t>
      </w:r>
    </w:p>
    <w:p>
      <w:pPr>
        <w:pStyle w:val="4"/>
        <w:keepLines w:val="0"/>
        <w:numPr>
          <w:ilvl w:val="1"/>
          <w:numId w:val="9"/>
        </w:numPr>
        <w:spacing w:before="312" w:beforeLines="100" w:after="312" w:afterLines="100" w:line="620" w:lineRule="exact"/>
        <w:jc w:val="center"/>
        <w:rPr>
          <w:rFonts w:ascii="Times New Roman" w:hAnsi="Times New Roman" w:cs="Times New Roman"/>
          <w:b/>
          <w:bCs/>
          <w:color w:val="auto"/>
          <w:highlight w:val="none"/>
        </w:rPr>
      </w:pPr>
      <w:bookmarkStart w:id="477" w:name="_Toc75731239"/>
      <w:bookmarkStart w:id="478" w:name="_Toc10473"/>
      <w:bookmarkStart w:id="479" w:name="_Toc23622"/>
      <w:bookmarkStart w:id="480" w:name="_Toc1276"/>
      <w:r>
        <w:rPr>
          <w:rFonts w:ascii="Times New Roman" w:hAnsi="Times New Roman" w:cs="Times New Roman"/>
          <w:b/>
          <w:bCs/>
          <w:color w:val="auto"/>
          <w:highlight w:val="none"/>
        </w:rPr>
        <w:t>完善农村金融服务机制</w:t>
      </w:r>
      <w:bookmarkEnd w:id="477"/>
      <w:bookmarkEnd w:id="478"/>
      <w:bookmarkEnd w:id="479"/>
      <w:bookmarkEnd w:id="480"/>
    </w:p>
    <w:p>
      <w:pPr>
        <w:pStyle w:val="22"/>
        <w:snapToGrid w:val="0"/>
        <w:spacing w:line="560" w:lineRule="exact"/>
        <w:ind w:firstLine="643"/>
        <w:outlineLvl w:val="9"/>
        <w:rPr>
          <w:rFonts w:ascii="Times New Roman" w:hAnsi="Times New Roman"/>
          <w:color w:val="auto"/>
          <w:szCs w:val="32"/>
          <w:highlight w:val="none"/>
        </w:rPr>
      </w:pPr>
      <w:r>
        <w:rPr>
          <w:rFonts w:ascii="Times New Roman" w:hAnsi="Times New Roman"/>
          <w:color w:val="auto"/>
          <w:szCs w:val="32"/>
          <w:highlight w:val="none"/>
        </w:rPr>
        <w:t>探索建立“政府+银行+市场”农村金融综合服务体系，推动建立金融机构服务“三农”的激励约束机制。加快“农村产权+”金融产品开发，探索建立农村产权抵质押融资及风险分担机制。推广使用“农贷通”综合金融服务平台，不断优化运营机制，引导更多金融机构参与平台建设与应用。加快完善农业保险制度，推动政策性保险扩面、增品、提标，降低农户生产经营风险。探索推进“银保、银担、银政保、银政担”等协同创新机制。探索建立产权交易信用评价体系，健全征信系统。建立工商资本入乡促进机制。</w:t>
      </w:r>
    </w:p>
    <w:p>
      <w:pPr>
        <w:pStyle w:val="4"/>
        <w:keepLines w:val="0"/>
        <w:numPr>
          <w:ilvl w:val="1"/>
          <w:numId w:val="9"/>
        </w:numPr>
        <w:snapToGrid w:val="0"/>
        <w:spacing w:before="312" w:beforeLines="100" w:after="312" w:afterLines="100" w:line="620" w:lineRule="exact"/>
        <w:ind w:firstLine="643"/>
        <w:jc w:val="center"/>
        <w:rPr>
          <w:rFonts w:ascii="Times New Roman" w:hAnsi="Times New Roman" w:cs="Times New Roman"/>
          <w:b/>
          <w:bCs/>
          <w:color w:val="auto"/>
          <w:szCs w:val="32"/>
          <w:highlight w:val="none"/>
        </w:rPr>
      </w:pPr>
      <w:bookmarkStart w:id="481" w:name="_Toc18970"/>
      <w:bookmarkStart w:id="482" w:name="_Toc75731240"/>
      <w:r>
        <w:rPr>
          <w:rFonts w:hint="default" w:ascii="Times New Roman" w:hAnsi="Times New Roman" w:cs="Times New Roman"/>
          <w:b/>
          <w:bCs/>
          <w:color w:val="auto"/>
          <w:highlight w:val="none"/>
        </w:rPr>
        <w:t>健全城乡融合发展机制</w:t>
      </w:r>
      <w:bookmarkEnd w:id="481"/>
      <w:bookmarkEnd w:id="482"/>
    </w:p>
    <w:p>
      <w:pPr>
        <w:pStyle w:val="22"/>
        <w:snapToGrid w:val="0"/>
        <w:spacing w:line="560" w:lineRule="exact"/>
        <w:ind w:firstLine="643"/>
        <w:outlineLvl w:val="9"/>
        <w:rPr>
          <w:rFonts w:ascii="Times New Roman" w:hAnsi="Times New Roman"/>
          <w:color w:val="auto"/>
          <w:szCs w:val="32"/>
          <w:highlight w:val="none"/>
        </w:rPr>
      </w:pPr>
      <w:r>
        <w:rPr>
          <w:rFonts w:ascii="Times New Roman" w:hAnsi="Times New Roman"/>
          <w:color w:val="auto"/>
          <w:szCs w:val="32"/>
          <w:highlight w:val="none"/>
        </w:rPr>
        <w:t>建立城市人才入乡激励机制、推动城乡要素自由流动、平等交换，改革完善农村承包地制度、稳慎改革农村宅基地制度。推动公共服务向农村延伸、社会事业向农村覆盖，加快推进城乡基本公共服务的标准化、均等化。完善农业支持保护制度、建立新产业新业态培育机制、探索生态产品价值实现机制、搭建城乡产业协同发展平台、健全城乡统筹规划制度，用城市现代科技来改造传统农业、用城市的工业发展来延长乡村的农业链条、用移动互联来丰富和发展农业业态。形成以现代农业为基础，以农村一二三产业融合发展、乡村文化旅游等新产业、新业态为重要补充的经济形态。</w:t>
      </w:r>
    </w:p>
    <w:p>
      <w:pPr>
        <w:pStyle w:val="4"/>
        <w:keepLines w:val="0"/>
        <w:numPr>
          <w:ilvl w:val="1"/>
          <w:numId w:val="9"/>
        </w:numPr>
        <w:snapToGrid w:val="0"/>
        <w:spacing w:before="312" w:beforeLines="100" w:after="312" w:afterLines="100" w:line="620" w:lineRule="exact"/>
        <w:ind w:firstLine="643"/>
        <w:jc w:val="center"/>
        <w:rPr>
          <w:rFonts w:ascii="Times New Roman" w:hAnsi="Times New Roman" w:cs="Times New Roman"/>
          <w:b/>
          <w:bCs/>
          <w:color w:val="auto"/>
          <w:highlight w:val="none"/>
        </w:rPr>
      </w:pPr>
      <w:bookmarkStart w:id="483" w:name="_Toc20081"/>
      <w:bookmarkStart w:id="484" w:name="_Toc31476"/>
      <w:bookmarkStart w:id="485" w:name="_Toc75731241"/>
      <w:bookmarkStart w:id="486" w:name="_Toc23880"/>
      <w:bookmarkStart w:id="487" w:name="_Toc7729"/>
      <w:r>
        <w:rPr>
          <w:rFonts w:hint="default" w:ascii="Times New Roman" w:hAnsi="Times New Roman" w:cs="Times New Roman"/>
          <w:b/>
          <w:bCs/>
          <w:color w:val="auto"/>
          <w:highlight w:val="none"/>
        </w:rPr>
        <w:t>构建农业对外开放新格局</w:t>
      </w:r>
      <w:bookmarkEnd w:id="483"/>
      <w:bookmarkEnd w:id="484"/>
      <w:bookmarkEnd w:id="485"/>
      <w:bookmarkEnd w:id="486"/>
      <w:bookmarkEnd w:id="487"/>
      <w:bookmarkStart w:id="488" w:name="_Toc59541218"/>
      <w:bookmarkStart w:id="489" w:name="_Toc59205182"/>
    </w:p>
    <w:p>
      <w:pPr>
        <w:pStyle w:val="22"/>
        <w:snapToGrid w:val="0"/>
        <w:spacing w:line="560" w:lineRule="exact"/>
        <w:ind w:firstLine="640"/>
        <w:outlineLvl w:val="9"/>
        <w:rPr>
          <w:rFonts w:ascii="Times New Roman" w:hAnsi="Times New Roman"/>
          <w:color w:val="auto"/>
          <w:szCs w:val="32"/>
          <w:highlight w:val="none"/>
        </w:rPr>
      </w:pPr>
      <w:r>
        <w:rPr>
          <w:rFonts w:ascii="Times New Roman" w:hAnsi="Times New Roman"/>
          <w:color w:val="auto"/>
          <w:szCs w:val="32"/>
          <w:highlight w:val="none"/>
        </w:rPr>
        <w:t>坚持把实施扩大内需战略同深化供给侧结构性改革有机结合起来，贯通生产、分配、流通、消费各环节，有效破除生产要素和商品服务流通障碍，以承接东部产业转移为契机，优化升级产业链供应链，不断提升特色产品和优势产业的竞争力，打造成渝地区绿色（有机）农产品供给基地，深化周边区域合作，显著增强全县在区域版图中的位势，为全省推动成渝地区双城经济圈建设贡献荥经力量。</w:t>
      </w:r>
      <w:bookmarkEnd w:id="488"/>
      <w:bookmarkEnd w:id="489"/>
    </w:p>
    <w:p>
      <w:pPr>
        <w:pStyle w:val="22"/>
        <w:snapToGrid w:val="0"/>
        <w:spacing w:before="156" w:beforeLines="50" w:after="156" w:afterLines="50" w:line="580" w:lineRule="exact"/>
        <w:ind w:firstLine="0" w:firstLineChars="0"/>
        <w:jc w:val="center"/>
        <w:rPr>
          <w:rFonts w:ascii="Times New Roman" w:hAnsi="Times New Roman" w:eastAsia="黑体"/>
          <w:b/>
          <w:bCs/>
          <w:color w:val="auto"/>
          <w:sz w:val="28"/>
          <w:szCs w:val="28"/>
          <w:highlight w:val="none"/>
          <w:shd w:val="clear" w:color="auto" w:fill="FFFFFF"/>
        </w:rPr>
      </w:pPr>
      <w:r>
        <w:rPr>
          <w:rFonts w:ascii="Times New Roman" w:hAnsi="Times New Roman" w:eastAsia="黑体"/>
          <w:b/>
          <w:bCs/>
          <w:color w:val="auto"/>
          <w:sz w:val="28"/>
          <w:szCs w:val="28"/>
          <w:highlight w:val="none"/>
          <w:shd w:val="clear" w:color="auto" w:fill="FFFFFF"/>
        </w:rPr>
        <w:t xml:space="preserve">专栏16  </w:t>
      </w:r>
      <w:r>
        <w:rPr>
          <w:rFonts w:ascii="Times New Roman" w:hAnsi="Times New Roman" w:eastAsia="黑体"/>
          <w:b/>
          <w:bCs/>
          <w:color w:val="auto"/>
          <w:sz w:val="28"/>
          <w:szCs w:val="28"/>
          <w:highlight w:val="none"/>
          <w:shd w:val="clear" w:color="auto" w:fill="FFFFFF"/>
          <w:lang w:val="sq-AL"/>
        </w:rPr>
        <w:t>农业农村改革工程</w:t>
      </w:r>
    </w:p>
    <w:tbl>
      <w:tblPr>
        <w:tblStyle w:val="16"/>
        <w:tblW w:w="5194"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85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36" w:hRule="atLeast"/>
          <w:jc w:val="center"/>
        </w:trPr>
        <w:tc>
          <w:tcPr>
            <w:tcW w:w="5000" w:type="pct"/>
            <w:vAlign w:val="center"/>
          </w:tcPr>
          <w:p>
            <w:pPr>
              <w:pStyle w:val="27"/>
              <w:snapToGrid w:val="0"/>
              <w:spacing w:line="500" w:lineRule="exact"/>
              <w:ind w:firstLine="0" w:firstLineChars="0"/>
              <w:rPr>
                <w:rFonts w:ascii="Times New Roman" w:hAnsi="Times New Roman" w:eastAsia="楷体_GB2312" w:cs="Times New Roman"/>
                <w:b/>
                <w:bCs/>
                <w:color w:val="auto"/>
                <w:sz w:val="28"/>
                <w:szCs w:val="28"/>
                <w:highlight w:val="none"/>
                <w:shd w:val="clear" w:color="auto" w:fill="FFFFFF"/>
                <w:lang w:val="sq-AL"/>
              </w:rPr>
            </w:pPr>
            <w:r>
              <w:rPr>
                <w:rFonts w:ascii="Times New Roman" w:hAnsi="Times New Roman" w:eastAsia="楷体_GB2312" w:cs="Times New Roman"/>
                <w:b/>
                <w:bCs/>
                <w:color w:val="auto"/>
                <w:sz w:val="28"/>
                <w:szCs w:val="28"/>
                <w:highlight w:val="none"/>
                <w:shd w:val="clear" w:color="auto" w:fill="FFFFFF"/>
              </w:rPr>
              <w:t xml:space="preserve">01 </w:t>
            </w:r>
            <w:r>
              <w:rPr>
                <w:rFonts w:ascii="Times New Roman" w:hAnsi="Times New Roman" w:eastAsia="楷体_GB2312" w:cs="Times New Roman"/>
                <w:b/>
                <w:bCs/>
                <w:color w:val="auto"/>
                <w:sz w:val="28"/>
                <w:szCs w:val="28"/>
                <w:highlight w:val="none"/>
                <w:shd w:val="clear" w:color="auto" w:fill="FFFFFF"/>
                <w:lang w:val="sq-AL"/>
              </w:rPr>
              <w:t>新型村集体经济壮大工程</w:t>
            </w:r>
          </w:p>
          <w:p>
            <w:pPr>
              <w:pStyle w:val="22"/>
              <w:snapToGrid w:val="0"/>
              <w:spacing w:line="500" w:lineRule="exact"/>
              <w:ind w:left="307" w:leftChars="146" w:firstLine="0" w:firstLineChars="0"/>
              <w:rPr>
                <w:rFonts w:ascii="Times New Roman" w:hAnsi="Times New Roman"/>
                <w:color w:val="auto"/>
                <w:sz w:val="28"/>
                <w:szCs w:val="28"/>
                <w:highlight w:val="none"/>
              </w:rPr>
            </w:pPr>
            <w:r>
              <w:rPr>
                <w:rFonts w:ascii="Times New Roman" w:hAnsi="Times New Roman"/>
                <w:color w:val="auto"/>
                <w:sz w:val="28"/>
                <w:szCs w:val="28"/>
                <w:highlight w:val="none"/>
                <w:lang w:val="sq-AL"/>
              </w:rPr>
              <w:t>积极向上争取省级财政扶持村集体经济发展资金，依托优势特色产业，推进村集体下农业与旅游业的深度融合，开展农产品研发、包装提档升级，以及茶园民宿、红色拓展训练基地等建设，着力壮大庙岗村、田坝村、青杠村、古城村、建政村、烈士村等村级集体经济。</w:t>
            </w:r>
          </w:p>
        </w:tc>
      </w:tr>
    </w:tbl>
    <w:p>
      <w:pPr>
        <w:widowControl/>
        <w:spacing w:line="560" w:lineRule="exact"/>
        <w:jc w:val="left"/>
        <w:rPr>
          <w:rFonts w:ascii="Times New Roman" w:hAnsi="Times New Roman" w:eastAsia="仿宋_GB2312" w:cs="Times New Roman"/>
          <w:color w:val="auto"/>
          <w:kern w:val="0"/>
          <w:sz w:val="32"/>
          <w:szCs w:val="32"/>
          <w:highlight w:val="none"/>
        </w:rPr>
      </w:pPr>
      <w:r>
        <w:rPr>
          <w:rFonts w:ascii="Times New Roman" w:hAnsi="Times New Roman" w:cs="Times New Roman"/>
          <w:color w:val="auto"/>
          <w:kern w:val="0"/>
          <w:szCs w:val="32"/>
          <w:highlight w:val="none"/>
        </w:rPr>
        <w:br w:type="page"/>
      </w:r>
    </w:p>
    <w:p>
      <w:pPr>
        <w:numPr>
          <w:ilvl w:val="0"/>
          <w:numId w:val="1"/>
        </w:numPr>
        <w:spacing w:line="620" w:lineRule="exact"/>
        <w:jc w:val="center"/>
        <w:outlineLvl w:val="0"/>
        <w:rPr>
          <w:rFonts w:ascii="Times New Roman" w:hAnsi="Times New Roman" w:eastAsia="方正小标宋简体" w:cs="Times New Roman"/>
          <w:b/>
          <w:bCs/>
          <w:color w:val="auto"/>
          <w:sz w:val="44"/>
          <w:szCs w:val="44"/>
          <w:highlight w:val="none"/>
        </w:rPr>
      </w:pPr>
      <w:bookmarkStart w:id="490" w:name="_Toc75731251"/>
      <w:bookmarkStart w:id="491" w:name="_Toc6182"/>
      <w:bookmarkStart w:id="492" w:name="_Toc15214"/>
      <w:bookmarkStart w:id="493" w:name="_Toc6495"/>
      <w:r>
        <w:rPr>
          <w:rFonts w:ascii="Times New Roman" w:hAnsi="Times New Roman" w:eastAsia="方正小标宋简体" w:cs="Times New Roman"/>
          <w:b/>
          <w:bCs/>
          <w:color w:val="auto"/>
          <w:sz w:val="44"/>
          <w:szCs w:val="44"/>
          <w:highlight w:val="none"/>
        </w:rPr>
        <w:t>保障措施</w:t>
      </w:r>
      <w:bookmarkEnd w:id="490"/>
      <w:bookmarkEnd w:id="491"/>
      <w:bookmarkEnd w:id="492"/>
      <w:bookmarkEnd w:id="493"/>
    </w:p>
    <w:p>
      <w:pPr>
        <w:pStyle w:val="7"/>
        <w:autoSpaceDE w:val="0"/>
        <w:adjustRightInd w:val="0"/>
        <w:snapToGrid w:val="0"/>
        <w:spacing w:after="0" w:line="560" w:lineRule="exact"/>
        <w:ind w:firstLine="640" w:firstLineChars="200"/>
        <w:rPr>
          <w:rFonts w:ascii="Times New Roman" w:hAnsi="Times New Roman" w:eastAsia="仿宋_GB2312" w:cs="Times New Roman"/>
          <w:color w:val="auto"/>
          <w:sz w:val="32"/>
          <w:szCs w:val="32"/>
          <w:highlight w:val="none"/>
        </w:rPr>
      </w:pPr>
    </w:p>
    <w:p>
      <w:pPr>
        <w:pStyle w:val="7"/>
        <w:autoSpaceDE w:val="0"/>
        <w:adjustRightInd w:val="0"/>
        <w:snapToGrid w:val="0"/>
        <w:spacing w:after="0"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坚持</w:t>
      </w:r>
      <w:r>
        <w:rPr>
          <w:rFonts w:hint="eastAsia" w:ascii="Times New Roman" w:hAnsi="Times New Roman" w:eastAsia="仿宋_GB2312" w:cs="Times New Roman"/>
          <w:color w:val="auto"/>
          <w:sz w:val="32"/>
          <w:szCs w:val="32"/>
          <w:highlight w:val="none"/>
        </w:rPr>
        <w:t>和加强</w:t>
      </w:r>
      <w:r>
        <w:rPr>
          <w:rFonts w:ascii="Times New Roman" w:hAnsi="Times New Roman" w:eastAsia="仿宋_GB2312" w:cs="Times New Roman"/>
          <w:color w:val="auto"/>
          <w:sz w:val="32"/>
          <w:szCs w:val="32"/>
          <w:highlight w:val="none"/>
        </w:rPr>
        <w:t>党的全面领导，明确政府主体责任，把中央、省委和市委关于农业和农村现代化发展的各项决策部署落到实处，强化政策保障，充分发动社会力量，共同推动规划顺利实施。</w:t>
      </w:r>
    </w:p>
    <w:p>
      <w:pPr>
        <w:pStyle w:val="4"/>
        <w:keepLines w:val="0"/>
        <w:numPr>
          <w:ilvl w:val="1"/>
          <w:numId w:val="10"/>
        </w:numPr>
        <w:spacing w:before="312" w:beforeLines="100" w:after="312" w:afterLines="100" w:line="620" w:lineRule="exact"/>
        <w:jc w:val="center"/>
        <w:rPr>
          <w:rFonts w:ascii="Times New Roman" w:hAnsi="Times New Roman" w:cs="Times New Roman"/>
          <w:b/>
          <w:bCs/>
          <w:color w:val="auto"/>
          <w:highlight w:val="none"/>
        </w:rPr>
      </w:pPr>
      <w:bookmarkStart w:id="494" w:name="_Toc32118"/>
      <w:bookmarkStart w:id="495" w:name="_Toc18887"/>
      <w:bookmarkStart w:id="496" w:name="_Toc13900"/>
      <w:bookmarkStart w:id="497" w:name="_Toc75731252"/>
      <w:r>
        <w:rPr>
          <w:rFonts w:ascii="Times New Roman" w:hAnsi="Times New Roman" w:cs="Times New Roman"/>
          <w:b/>
          <w:bCs/>
          <w:color w:val="auto"/>
          <w:highlight w:val="none"/>
        </w:rPr>
        <w:t>加强组织领导</w:t>
      </w:r>
      <w:bookmarkEnd w:id="494"/>
      <w:bookmarkEnd w:id="495"/>
      <w:bookmarkEnd w:id="496"/>
      <w:bookmarkEnd w:id="497"/>
    </w:p>
    <w:p>
      <w:pPr>
        <w:pStyle w:val="7"/>
        <w:autoSpaceDE w:val="0"/>
        <w:adjustRightInd w:val="0"/>
        <w:snapToGrid w:val="0"/>
        <w:spacing w:after="0"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坚持“三农”工作重中之重地位不动摇，切实增强做好“三农”工作的责任感、使命感、紧迫感。健全完善党委统一领导、党政齐抓共管、党委农村工作部门统筹协调、涉农部门各负其责的“三农”工作领导体制和工作运行机制，实行“三农”工作“党政同责、一岗双责”，层层压实责任、层层传导压力。提高“三农”工作县（区）领导班子考核评价比重，用好“三农”工作、农民增收和脱贫攻坚考核评价结果。加强中长期重大事项研究，优先解决农业农村工作中的突出矛盾和问题，在规划制定、工作安排、财力分配和干部配备上向农业农村工作倾斜，切实解决好农民群众最关心最直接最现实的利益问题。加强各级党委农村工作综合部门建设，强化统筹协调、决策服务职能。强化涉农统计管理和农村统计基层基础工作。</w:t>
      </w:r>
    </w:p>
    <w:p>
      <w:pPr>
        <w:pStyle w:val="4"/>
        <w:keepLines w:val="0"/>
        <w:numPr>
          <w:ilvl w:val="1"/>
          <w:numId w:val="10"/>
        </w:numPr>
        <w:spacing w:before="312" w:beforeLines="100" w:after="312" w:afterLines="100" w:line="620" w:lineRule="exact"/>
        <w:jc w:val="center"/>
        <w:rPr>
          <w:rFonts w:ascii="Times New Roman" w:hAnsi="Times New Roman" w:cs="Times New Roman"/>
          <w:b/>
          <w:bCs/>
          <w:color w:val="auto"/>
          <w:highlight w:val="none"/>
        </w:rPr>
      </w:pPr>
      <w:bookmarkStart w:id="498" w:name="_Toc11195"/>
      <w:bookmarkStart w:id="499" w:name="_Toc16597"/>
      <w:bookmarkStart w:id="500" w:name="_Toc75731253"/>
      <w:bookmarkStart w:id="501" w:name="_Toc32114"/>
      <w:r>
        <w:rPr>
          <w:rFonts w:ascii="Times New Roman" w:hAnsi="Times New Roman" w:cs="Times New Roman"/>
          <w:b/>
          <w:bCs/>
          <w:color w:val="auto"/>
          <w:highlight w:val="none"/>
        </w:rPr>
        <w:t>推进依法治农</w:t>
      </w:r>
      <w:bookmarkEnd w:id="498"/>
      <w:bookmarkEnd w:id="499"/>
      <w:bookmarkEnd w:id="500"/>
      <w:bookmarkEnd w:id="501"/>
    </w:p>
    <w:p>
      <w:pPr>
        <w:pStyle w:val="7"/>
        <w:autoSpaceDE w:val="0"/>
        <w:adjustRightInd w:val="0"/>
        <w:snapToGrid w:val="0"/>
        <w:spacing w:after="0"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始终坚持农村基层党组织的领导核心地位，建立以党支部为核心的农村基层组织，以股份合作为纽带的农村集体经济组织、以村委会为主体的新型农村社区组织及农村勤廉组织保障体系。深入推进农村基层事务、政务和党务全面公开，加强村务监督委员会建设，严肃农村基层党内政治生活，加强党员日常教育管理，开展以村民小组或自然村为基本单元的村民自治试点，构建完善的村级治理体系。完善乡规民约约束机制，充分发挥群众的主体作用，形成村民约定、自愿遵守、自我监督、自主管理的新型治理模式。依法加强农村宗教事务管理。加强农村法律服务和法律救助。持续开展涉农资金项目审计监督检查，加大强农惠农富农政策执行情况监督检查。全面推进“七五”普法，持续开展依法治村行动，开展平安村、民主法治示范村创建活动。全面推行农村网格化服务管理。严厉打击涉农违法违纪行为，维护农村社会和谐稳定。</w:t>
      </w:r>
    </w:p>
    <w:p>
      <w:pPr>
        <w:pStyle w:val="4"/>
        <w:keepLines w:val="0"/>
        <w:numPr>
          <w:ilvl w:val="1"/>
          <w:numId w:val="10"/>
        </w:numPr>
        <w:spacing w:before="312" w:beforeLines="100" w:after="312" w:afterLines="100" w:line="620" w:lineRule="exact"/>
        <w:jc w:val="center"/>
        <w:rPr>
          <w:rFonts w:ascii="Times New Roman" w:hAnsi="Times New Roman" w:cs="Times New Roman"/>
          <w:b/>
          <w:bCs/>
          <w:color w:val="auto"/>
          <w:highlight w:val="none"/>
        </w:rPr>
      </w:pPr>
      <w:bookmarkStart w:id="502" w:name="_Toc24261"/>
      <w:bookmarkStart w:id="503" w:name="_Toc22199"/>
      <w:bookmarkStart w:id="504" w:name="_Toc18490"/>
      <w:bookmarkStart w:id="505" w:name="_Toc75731254"/>
      <w:r>
        <w:rPr>
          <w:rFonts w:ascii="Times New Roman" w:hAnsi="Times New Roman" w:cs="Times New Roman"/>
          <w:b/>
          <w:bCs/>
          <w:color w:val="auto"/>
          <w:highlight w:val="none"/>
        </w:rPr>
        <w:t>强化项目实施</w:t>
      </w:r>
      <w:bookmarkEnd w:id="502"/>
      <w:bookmarkEnd w:id="503"/>
      <w:bookmarkEnd w:id="504"/>
      <w:bookmarkEnd w:id="505"/>
    </w:p>
    <w:p>
      <w:pPr>
        <w:pStyle w:val="7"/>
        <w:autoSpaceDE w:val="0"/>
        <w:adjustRightInd w:val="0"/>
        <w:snapToGrid w:val="0"/>
        <w:spacing w:after="0" w:line="560" w:lineRule="exact"/>
        <w:ind w:firstLine="640" w:firstLineChars="200"/>
        <w:rPr>
          <w:rFonts w:ascii="Times New Roman" w:hAnsi="Times New Roman" w:eastAsia="仿宋_GB2312" w:cs="Times New Roman"/>
          <w:color w:val="auto"/>
          <w:sz w:val="32"/>
          <w:szCs w:val="32"/>
          <w:highlight w:val="none"/>
        </w:rPr>
      </w:pPr>
      <w:r>
        <w:rPr>
          <w:rFonts w:ascii="Times New Roman" w:hAnsi="Times New Roman" w:eastAsia="仿宋_GB2312" w:cs="Times New Roman"/>
          <w:color w:val="auto"/>
          <w:sz w:val="32"/>
          <w:szCs w:val="32"/>
          <w:highlight w:val="none"/>
        </w:rPr>
        <w:t>积极对接国家规划和重点投向，谋划储备和加快实施一批具有全局性、基础性、战略性的重点项目、重大工程，促进投资稳定增长和结构优化。建立项目前期工作推进机制，每年筛选确定一批支撑作用强、转型升级示范作用明显的储备项目，形成“对外招商一批、对上争取一批、对内激活民营一批、对下双创一批”的滚动发展态势。完善部门互动、上下联动的重大项目协调服务体系，优先保障规划选址、土地供应、资金安排，确保项目进度和质量要求。创新项目投融资机制，支持鼓励社会资本参与重点领域项目建设，建立和完善政府与社会资本合作（PPP）项目支持政策体系。</w:t>
      </w:r>
    </w:p>
    <w:p>
      <w:pPr>
        <w:pStyle w:val="4"/>
        <w:keepLines w:val="0"/>
        <w:numPr>
          <w:ilvl w:val="1"/>
          <w:numId w:val="10"/>
        </w:numPr>
        <w:spacing w:before="312" w:beforeLines="100" w:after="312" w:afterLines="100" w:line="620" w:lineRule="exact"/>
        <w:jc w:val="center"/>
        <w:rPr>
          <w:rFonts w:ascii="Times New Roman" w:hAnsi="Times New Roman" w:cs="Times New Roman"/>
          <w:b/>
          <w:bCs/>
          <w:color w:val="auto"/>
          <w:highlight w:val="none"/>
        </w:rPr>
      </w:pPr>
      <w:bookmarkStart w:id="506" w:name="_Toc22841"/>
      <w:bookmarkStart w:id="507" w:name="_Toc75731255"/>
      <w:bookmarkStart w:id="508" w:name="_Toc32638"/>
      <w:bookmarkStart w:id="509" w:name="_Toc789"/>
      <w:r>
        <w:rPr>
          <w:rFonts w:ascii="Times New Roman" w:hAnsi="Times New Roman" w:cs="Times New Roman"/>
          <w:b/>
          <w:bCs/>
          <w:color w:val="auto"/>
          <w:highlight w:val="none"/>
        </w:rPr>
        <w:t>推动规划执行</w:t>
      </w:r>
      <w:bookmarkEnd w:id="506"/>
      <w:bookmarkEnd w:id="507"/>
      <w:bookmarkEnd w:id="508"/>
      <w:bookmarkEnd w:id="509"/>
    </w:p>
    <w:p>
      <w:pPr>
        <w:pStyle w:val="7"/>
        <w:autoSpaceDE w:val="0"/>
        <w:adjustRightInd w:val="0"/>
        <w:snapToGrid w:val="0"/>
        <w:spacing w:after="0" w:line="560" w:lineRule="exact"/>
        <w:ind w:firstLine="640" w:firstLineChars="200"/>
        <w:rPr>
          <w:rFonts w:ascii="Times New Roman" w:hAnsi="Times New Roman" w:eastAsia="仿宋_GB2312" w:cs="Times New Roman"/>
          <w:color w:val="auto"/>
          <w:sz w:val="32"/>
          <w:szCs w:val="32"/>
          <w:highlight w:val="none"/>
        </w:rPr>
        <w:sectPr>
          <w:pgSz w:w="11906" w:h="16838"/>
          <w:pgMar w:top="1440" w:right="1797" w:bottom="1440" w:left="1797" w:header="851" w:footer="992" w:gutter="0"/>
          <w:cols w:space="425" w:num="1"/>
          <w:docGrid w:type="lines" w:linePitch="312" w:charSpace="0"/>
        </w:sectPr>
      </w:pPr>
      <w:r>
        <w:rPr>
          <w:rFonts w:ascii="Times New Roman" w:hAnsi="Times New Roman" w:eastAsia="仿宋_GB2312" w:cs="Times New Roman"/>
          <w:color w:val="auto"/>
          <w:sz w:val="32"/>
          <w:szCs w:val="32"/>
          <w:highlight w:val="none"/>
        </w:rPr>
        <w:t>加强统筹管理和衔接协调，编制实施农村产业发展、基础设施建设、幸福美丽新村建设等领域重点专项规划，明确各领域、各区域发展目标、重点任务和政策措施，形成对总体规划强有力的支撑。加强各类规划衔接配合，确保总体要求指向一致、空间配置相互协调、时序安排科学有序。围绕本规划提出的重要指标、重大工程项目、重大改革和政策等，明确规划实施责任。各级各部门要加强对本规划实施的组织、协调和督导，开展好规划实施情况动态监测和评估工作。</w:t>
      </w:r>
    </w:p>
    <w:p>
      <w:pPr>
        <w:numPr>
          <w:ilvl w:val="0"/>
          <w:numId w:val="1"/>
        </w:numPr>
        <w:spacing w:line="620" w:lineRule="exact"/>
        <w:ind w:firstLine="0"/>
        <w:jc w:val="center"/>
        <w:outlineLvl w:val="0"/>
        <w:rPr>
          <w:rFonts w:ascii="Times New Roman" w:hAnsi="Times New Roman" w:eastAsia="方正小标宋简体" w:cs="Times New Roman"/>
          <w:b/>
          <w:bCs/>
          <w:color w:val="auto"/>
          <w:sz w:val="44"/>
          <w:szCs w:val="44"/>
          <w:highlight w:val="none"/>
        </w:rPr>
      </w:pPr>
      <w:bookmarkStart w:id="510" w:name="_Toc75731256"/>
      <w:bookmarkStart w:id="511" w:name="_Toc24979"/>
      <w:bookmarkStart w:id="512" w:name="_Toc18290"/>
      <w:bookmarkStart w:id="513" w:name="_Toc13651"/>
      <w:r>
        <w:rPr>
          <w:rFonts w:hint="eastAsia" w:ascii="Times New Roman" w:hAnsi="Times New Roman" w:eastAsia="方正小标宋简体" w:cs="Times New Roman"/>
          <w:b/>
          <w:bCs/>
          <w:color w:val="auto"/>
          <w:sz w:val="44"/>
          <w:szCs w:val="44"/>
          <w:highlight w:val="none"/>
        </w:rPr>
        <w:t>环境影响评价</w:t>
      </w:r>
      <w:bookmarkEnd w:id="510"/>
      <w:bookmarkEnd w:id="511"/>
      <w:bookmarkEnd w:id="512"/>
      <w:bookmarkEnd w:id="513"/>
    </w:p>
    <w:p>
      <w:pPr>
        <w:pStyle w:val="22"/>
        <w:snapToGrid w:val="0"/>
        <w:spacing w:line="560" w:lineRule="exact"/>
        <w:ind w:firstLine="640"/>
        <w:rPr>
          <w:rFonts w:ascii="Times New Roman" w:hAnsi="Times New Roman"/>
          <w:color w:val="auto"/>
          <w:szCs w:val="32"/>
          <w:highlight w:val="none"/>
        </w:rPr>
      </w:pPr>
    </w:p>
    <w:p>
      <w:pPr>
        <w:pStyle w:val="4"/>
        <w:keepLines w:val="0"/>
        <w:numPr>
          <w:ilvl w:val="1"/>
          <w:numId w:val="11"/>
        </w:numPr>
        <w:spacing w:before="312" w:beforeLines="100" w:after="312" w:afterLines="100" w:line="620" w:lineRule="exact"/>
        <w:ind w:firstLine="420"/>
        <w:jc w:val="center"/>
        <w:rPr>
          <w:rFonts w:ascii="Times New Roman" w:hAnsi="Times New Roman" w:eastAsia="黑体" w:cs="Times New Roman"/>
          <w:b/>
          <w:bCs/>
          <w:color w:val="auto"/>
          <w:sz w:val="32"/>
          <w:szCs w:val="32"/>
          <w:highlight w:val="none"/>
        </w:rPr>
      </w:pPr>
      <w:bookmarkStart w:id="514" w:name="_Toc11168"/>
      <w:bookmarkStart w:id="515" w:name="_Toc16492"/>
      <w:bookmarkStart w:id="516" w:name="_Toc1100"/>
      <w:bookmarkStart w:id="517" w:name="_Toc75731257"/>
      <w:r>
        <w:rPr>
          <w:rFonts w:hint="eastAsia" w:ascii="Times New Roman" w:hAnsi="Times New Roman" w:cs="Times New Roman"/>
          <w:b/>
          <w:bCs/>
          <w:color w:val="auto"/>
          <w:highlight w:val="none"/>
        </w:rPr>
        <w:t>环境现状</w:t>
      </w:r>
      <w:bookmarkEnd w:id="514"/>
      <w:bookmarkEnd w:id="515"/>
      <w:bookmarkEnd w:id="516"/>
      <w:bookmarkEnd w:id="517"/>
    </w:p>
    <w:p>
      <w:pPr>
        <w:pStyle w:val="22"/>
        <w:snapToGrid w:val="0"/>
        <w:spacing w:line="560" w:lineRule="exact"/>
        <w:ind w:firstLine="640"/>
        <w:rPr>
          <w:rFonts w:ascii="Times New Roman" w:hAnsi="Times New Roman"/>
          <w:color w:val="auto"/>
          <w:szCs w:val="32"/>
          <w:highlight w:val="none"/>
        </w:rPr>
      </w:pPr>
      <w:r>
        <w:rPr>
          <w:rFonts w:hint="eastAsia" w:ascii="Times New Roman" w:hAnsi="Times New Roman"/>
          <w:color w:val="auto"/>
          <w:szCs w:val="32"/>
          <w:highlight w:val="none"/>
        </w:rPr>
        <w:t>荥经县</w:t>
      </w:r>
      <w:r>
        <w:rPr>
          <w:rFonts w:ascii="Times New Roman" w:hAnsi="Times New Roman"/>
          <w:color w:val="auto"/>
          <w:szCs w:val="32"/>
          <w:highlight w:val="none"/>
        </w:rPr>
        <w:t>位于隶属四川雅安市，位于四川盆地西部边缘，处雅安市腹地，东北接雅安市雨城区，东南邻洪雅县，西南连汉源县，西交泸定县，北靠天全县，是雅安市重点拓展区，也是连接甘、阿、凉少数民族区域的重要节点和辐射攀西、康藏的桥头堡，全县幅员面积1781平方公里</w:t>
      </w:r>
      <w:r>
        <w:rPr>
          <w:rFonts w:hint="eastAsia" w:ascii="Times New Roman" w:hAnsi="Times New Roman"/>
          <w:color w:val="auto"/>
          <w:szCs w:val="32"/>
          <w:highlight w:val="none"/>
        </w:rPr>
        <w:t>。荥经古称严道，是省级历史文化名城和国家非物质文化遗产荥经砂器的原产地，是古代南丝绸之路和茶马古道上的重要驿站，是享受少数民族待遇县、革命老区县、省级扩权强县试点县、长江上游生态屏障建设县、省级有机产品认证示范县。亚热带季风加上山地调节，形成一个温润适宜、四季分明的区域小气候，冬无严寒、夏无酷暑，年均气温15.4℃，年降雨量1149.3毫米，森林覆盖率80.3%，优良天数常年保持在350天以上，是绿色走廊、天然氧吧、“三养”圣地（云峰寺养心、龙苍沟养生、牛背山养眼），素有“家在清风雅雨间”美誉。</w:t>
      </w:r>
    </w:p>
    <w:p>
      <w:pPr>
        <w:pStyle w:val="22"/>
        <w:snapToGrid w:val="0"/>
        <w:spacing w:line="560" w:lineRule="exact"/>
        <w:ind w:firstLine="640"/>
        <w:rPr>
          <w:rFonts w:ascii="Times New Roman" w:hAnsi="Times New Roman"/>
          <w:color w:val="auto"/>
          <w:szCs w:val="32"/>
          <w:highlight w:val="none"/>
        </w:rPr>
      </w:pPr>
      <w:r>
        <w:rPr>
          <w:rFonts w:ascii="Times New Roman" w:hAnsi="Times New Roman"/>
          <w:color w:val="auto"/>
          <w:szCs w:val="32"/>
          <w:highlight w:val="none"/>
        </w:rPr>
        <w:t>2020年，县城空气质量优良天数达359天，达标率达98.1%，实现了“四连升”，稳居成都平原经济圈前5名。主要考核污染物浓度实现了“四连降”，PM2.5平均浓度从2016年的39.1ug/m3下降到18.4ug/m3，年均下降幅度达13%；PM10浓度平均浓度从2016年的56.6下降到30.0ug/m3，年均下降幅度达12%。县城和乡镇集中式饮用水水源地水质达标率100%</w:t>
      </w:r>
      <w:r>
        <w:rPr>
          <w:rFonts w:hint="eastAsia" w:ascii="Times New Roman" w:hAnsi="Times New Roman"/>
          <w:color w:val="auto"/>
          <w:szCs w:val="32"/>
          <w:highlight w:val="none"/>
        </w:rPr>
        <w:t>。</w:t>
      </w:r>
    </w:p>
    <w:p>
      <w:pPr>
        <w:pStyle w:val="4"/>
        <w:numPr>
          <w:ilvl w:val="1"/>
          <w:numId w:val="11"/>
        </w:numPr>
        <w:spacing w:before="312" w:beforeLines="100" w:after="312" w:afterLines="100" w:line="620" w:lineRule="exact"/>
        <w:ind w:firstLine="420"/>
        <w:jc w:val="center"/>
        <w:rPr>
          <w:rFonts w:ascii="Times New Roman" w:hAnsi="Times New Roman" w:eastAsia="黑体" w:cs="Times New Roman"/>
          <w:b/>
          <w:bCs/>
          <w:color w:val="auto"/>
          <w:sz w:val="32"/>
          <w:szCs w:val="32"/>
          <w:highlight w:val="none"/>
        </w:rPr>
      </w:pPr>
      <w:bookmarkStart w:id="518" w:name="_Toc13191"/>
      <w:bookmarkStart w:id="519" w:name="_Toc12673"/>
      <w:bookmarkStart w:id="520" w:name="_Toc15130"/>
      <w:bookmarkStart w:id="521" w:name="_Toc9093"/>
      <w:bookmarkStart w:id="522" w:name="_Toc75731258"/>
      <w:r>
        <w:rPr>
          <w:rFonts w:hint="eastAsia" w:ascii="Times New Roman" w:hAnsi="Times New Roman" w:cs="Times New Roman"/>
          <w:b/>
          <w:bCs/>
          <w:color w:val="auto"/>
          <w:highlight w:val="none"/>
        </w:rPr>
        <w:t>环境影响分析与评价</w:t>
      </w:r>
      <w:bookmarkEnd w:id="518"/>
      <w:bookmarkEnd w:id="519"/>
      <w:bookmarkEnd w:id="520"/>
      <w:bookmarkEnd w:id="521"/>
      <w:bookmarkEnd w:id="522"/>
    </w:p>
    <w:p>
      <w:pPr>
        <w:pStyle w:val="22"/>
        <w:snapToGrid w:val="0"/>
        <w:spacing w:line="560" w:lineRule="exact"/>
        <w:ind w:firstLine="640"/>
        <w:rPr>
          <w:rFonts w:ascii="Times New Roman" w:hAnsi="Times New Roman"/>
          <w:color w:val="auto"/>
          <w:szCs w:val="32"/>
          <w:highlight w:val="none"/>
        </w:rPr>
      </w:pPr>
      <w:r>
        <w:rPr>
          <w:rFonts w:ascii="Times New Roman" w:hAnsi="Times New Roman" w:eastAsia="仿宋_GB2312"/>
          <w:b/>
          <w:bCs w:val="0"/>
          <w:color w:val="auto"/>
          <w:szCs w:val="32"/>
          <w:highlight w:val="none"/>
        </w:rPr>
        <w:t>与相关规划协调性分析</w:t>
      </w:r>
      <w:r>
        <w:rPr>
          <w:rFonts w:hint="eastAsia" w:ascii="Times New Roman" w:hAnsi="Times New Roman"/>
          <w:b/>
          <w:color w:val="auto"/>
          <w:szCs w:val="32"/>
          <w:highlight w:val="none"/>
        </w:rPr>
        <w:t>。</w:t>
      </w:r>
      <w:r>
        <w:rPr>
          <w:rFonts w:ascii="Times New Roman" w:hAnsi="Times New Roman"/>
          <w:color w:val="auto"/>
          <w:szCs w:val="32"/>
          <w:highlight w:val="none"/>
        </w:rPr>
        <w:t>《</w:t>
      </w:r>
      <w:r>
        <w:rPr>
          <w:rFonts w:hint="eastAsia" w:ascii="Times New Roman" w:hAnsi="Times New Roman"/>
          <w:color w:val="auto"/>
          <w:szCs w:val="32"/>
          <w:highlight w:val="none"/>
        </w:rPr>
        <w:t>荥经县</w:t>
      </w:r>
      <w:r>
        <w:rPr>
          <w:rFonts w:ascii="Times New Roman" w:hAnsi="Times New Roman"/>
          <w:color w:val="auto"/>
          <w:szCs w:val="32"/>
          <w:highlight w:val="none"/>
        </w:rPr>
        <w:t>“十四五”推进农业农村现代化规划》（以下简称《规划》）全面贯彻优先发展农业农村，全面推进乡村振兴的精神，科学分析了“十四五”农业农村现代化发展面临的机遇与挑战，提出了“十四五”农业农村发展的工作重点，对雅安农业和农村经济社会全面、协调、可持续发展、农业农村现代化目标的实现具有积极促进作用。从《规划》与相关战略规划的协调性看，《规划》与《乡村振兴战略规划（2018—2022年）》《“十四五”推进农业农村现代化规划》等国家、省</w:t>
      </w:r>
      <w:r>
        <w:rPr>
          <w:rFonts w:hint="eastAsia" w:ascii="Times New Roman" w:hAnsi="Times New Roman"/>
          <w:color w:val="auto"/>
          <w:szCs w:val="32"/>
          <w:highlight w:val="none"/>
        </w:rPr>
        <w:t>、市</w:t>
      </w:r>
      <w:r>
        <w:rPr>
          <w:rFonts w:ascii="Times New Roman" w:hAnsi="Times New Roman"/>
          <w:color w:val="auto"/>
          <w:szCs w:val="32"/>
          <w:highlight w:val="none"/>
        </w:rPr>
        <w:t>规划进行了有效衔接，在农业和农村经济发展目标、农业产业布局、重大项目建设等方面与国家规划保持一致。同时，与《</w:t>
      </w:r>
      <w:r>
        <w:rPr>
          <w:rFonts w:hint="eastAsia" w:ascii="Times New Roman" w:hAnsi="Times New Roman"/>
          <w:color w:val="auto"/>
          <w:szCs w:val="32"/>
          <w:highlight w:val="none"/>
        </w:rPr>
        <w:t>荥经县</w:t>
      </w:r>
      <w:r>
        <w:rPr>
          <w:rFonts w:ascii="Times New Roman" w:hAnsi="Times New Roman"/>
          <w:color w:val="auto"/>
          <w:szCs w:val="32"/>
          <w:highlight w:val="none"/>
        </w:rPr>
        <w:t>国民经济和社会发展第十四个五年规划和二O三五年远景目标纲要》提出的农业发展目标任务保持一致，并与水利、气象等领域的“十四五”专项规划进行了对接，规划之间不存在矛盾和冲突。《规划》项目符合《荥经县“十四五”生态环境保护规划</w:t>
      </w:r>
      <w:r>
        <w:rPr>
          <w:rFonts w:hint="eastAsia" w:ascii="Times New Roman" w:hAnsi="Times New Roman"/>
          <w:color w:val="auto"/>
          <w:szCs w:val="32"/>
          <w:highlight w:val="none"/>
        </w:rPr>
        <w:t>》等</w:t>
      </w:r>
      <w:r>
        <w:rPr>
          <w:rFonts w:ascii="Times New Roman" w:hAnsi="Times New Roman"/>
          <w:color w:val="auto"/>
          <w:szCs w:val="32"/>
          <w:highlight w:val="none"/>
        </w:rPr>
        <w:t>相关开发原则和保障措施要求，认真落实各项目环评中提出的各项环境保护措施，其实施可以把对各生态功能区的环境影响降到最低程度。从环境保护角度分析，《规划》与生态环境保护等上位规划总体上相适应。</w:t>
      </w:r>
    </w:p>
    <w:p>
      <w:pPr>
        <w:pStyle w:val="22"/>
        <w:snapToGrid w:val="0"/>
        <w:spacing w:line="560" w:lineRule="exact"/>
        <w:ind w:firstLine="643"/>
        <w:rPr>
          <w:rFonts w:ascii="Times New Roman" w:hAnsi="Times New Roman"/>
          <w:color w:val="auto"/>
          <w:szCs w:val="32"/>
          <w:highlight w:val="none"/>
        </w:rPr>
      </w:pPr>
      <w:r>
        <w:rPr>
          <w:rFonts w:ascii="Times New Roman" w:hAnsi="Times New Roman" w:eastAsia="仿宋_GB2312"/>
          <w:b/>
          <w:bCs w:val="0"/>
          <w:color w:val="auto"/>
          <w:szCs w:val="32"/>
          <w:highlight w:val="none"/>
        </w:rPr>
        <w:t>各环境要素影响分析</w:t>
      </w:r>
      <w:r>
        <w:rPr>
          <w:rFonts w:hint="eastAsia" w:ascii="Times New Roman" w:hAnsi="Times New Roman"/>
          <w:b/>
          <w:color w:val="auto"/>
          <w:szCs w:val="32"/>
          <w:highlight w:val="none"/>
        </w:rPr>
        <w:t>。</w:t>
      </w:r>
      <w:r>
        <w:rPr>
          <w:rFonts w:ascii="Times New Roman" w:hAnsi="Times New Roman"/>
          <w:color w:val="auto"/>
          <w:szCs w:val="32"/>
          <w:highlight w:val="none"/>
        </w:rPr>
        <w:t>《规划》实施后，社会、生态、环境空气、水环境、声环境等环境影响如下。</w:t>
      </w:r>
    </w:p>
    <w:p>
      <w:pPr>
        <w:pStyle w:val="22"/>
        <w:snapToGrid w:val="0"/>
        <w:spacing w:line="560" w:lineRule="exact"/>
        <w:ind w:firstLine="640"/>
        <w:rPr>
          <w:rFonts w:ascii="Times New Roman" w:hAnsi="Times New Roman"/>
          <w:color w:val="auto"/>
          <w:szCs w:val="32"/>
          <w:highlight w:val="none"/>
        </w:rPr>
      </w:pPr>
      <w:r>
        <w:rPr>
          <w:rFonts w:ascii="Times New Roman" w:hAnsi="Times New Roman"/>
          <w:color w:val="auto"/>
          <w:szCs w:val="32"/>
          <w:highlight w:val="none"/>
        </w:rPr>
        <w:t>社会环境：能够促进农村经济和农业产业发展，推动全省社会经济发展，但部分需征占地的项目在征地拆迁过程中存在一定社会稳定风险。</w:t>
      </w:r>
    </w:p>
    <w:p>
      <w:pPr>
        <w:pStyle w:val="22"/>
        <w:snapToGrid w:val="0"/>
        <w:spacing w:line="560" w:lineRule="exact"/>
        <w:ind w:firstLine="640"/>
        <w:rPr>
          <w:rFonts w:ascii="Times New Roman" w:hAnsi="Times New Roman"/>
          <w:color w:val="auto"/>
          <w:szCs w:val="32"/>
          <w:highlight w:val="none"/>
        </w:rPr>
      </w:pPr>
      <w:r>
        <w:rPr>
          <w:rFonts w:ascii="Times New Roman" w:hAnsi="Times New Roman"/>
          <w:color w:val="auto"/>
          <w:szCs w:val="32"/>
          <w:highlight w:val="none"/>
        </w:rPr>
        <w:t>生态环境：农业资源开发项目开发不当可能新增水土流失，造成面源污染；林草资源开发项目开发不当可能破坏原有生态植被、新增水土流失、引来外来物种，影响生态平衡；可能对自然保护区、风景名胜区、世界自然和文化遗产地、森林公园、水产种质资源保护区、饮用水水源保护区等众多生态环境敏感区域和脆弱区产生一定影响。</w:t>
      </w:r>
    </w:p>
    <w:p>
      <w:pPr>
        <w:pStyle w:val="22"/>
        <w:snapToGrid w:val="0"/>
        <w:spacing w:line="560" w:lineRule="exact"/>
        <w:ind w:firstLine="640"/>
        <w:rPr>
          <w:rFonts w:ascii="Times New Roman" w:hAnsi="Times New Roman"/>
          <w:color w:val="auto"/>
          <w:szCs w:val="32"/>
          <w:highlight w:val="none"/>
        </w:rPr>
      </w:pPr>
      <w:r>
        <w:rPr>
          <w:rFonts w:ascii="Times New Roman" w:hAnsi="Times New Roman"/>
          <w:color w:val="auto"/>
          <w:szCs w:val="32"/>
          <w:highlight w:val="none"/>
        </w:rPr>
        <w:t>环境空气：施工期主要是扬尘污染，但对环境质量影响一般较小；规模化畜禽养殖项目可能带来恶臭影响。</w:t>
      </w:r>
    </w:p>
    <w:p>
      <w:pPr>
        <w:pStyle w:val="22"/>
        <w:snapToGrid w:val="0"/>
        <w:spacing w:line="560" w:lineRule="exact"/>
        <w:ind w:firstLine="640"/>
        <w:rPr>
          <w:rFonts w:ascii="Times New Roman" w:hAnsi="Times New Roman"/>
          <w:color w:val="auto"/>
          <w:szCs w:val="32"/>
          <w:highlight w:val="none"/>
        </w:rPr>
      </w:pPr>
      <w:r>
        <w:rPr>
          <w:rFonts w:ascii="Times New Roman" w:hAnsi="Times New Roman"/>
          <w:color w:val="auto"/>
          <w:szCs w:val="32"/>
          <w:highlight w:val="none"/>
        </w:rPr>
        <w:t>水环境：施工期施工场地废水和施工驻地生活污水可能污染受纳水体和土壤；种植业农药、肥料过度使用，畜禽养殖业废水处理不当以及农村生活污水未有效处理，可能造成农业面源污染。</w:t>
      </w:r>
    </w:p>
    <w:p>
      <w:pPr>
        <w:pStyle w:val="22"/>
        <w:snapToGrid w:val="0"/>
        <w:spacing w:line="560" w:lineRule="exact"/>
        <w:ind w:firstLine="640"/>
        <w:rPr>
          <w:rFonts w:ascii="Times New Roman" w:hAnsi="Times New Roman"/>
          <w:color w:val="auto"/>
          <w:szCs w:val="32"/>
          <w:highlight w:val="none"/>
        </w:rPr>
      </w:pPr>
      <w:r>
        <w:rPr>
          <w:rFonts w:ascii="Times New Roman" w:hAnsi="Times New Roman"/>
          <w:color w:val="auto"/>
          <w:szCs w:val="32"/>
          <w:highlight w:val="none"/>
        </w:rPr>
        <w:t>声环境：施工期主要是施工作业机械噪声。</w:t>
      </w:r>
    </w:p>
    <w:p>
      <w:pPr>
        <w:pStyle w:val="4"/>
        <w:numPr>
          <w:ilvl w:val="1"/>
          <w:numId w:val="11"/>
        </w:numPr>
        <w:spacing w:before="312" w:beforeLines="100" w:after="312" w:afterLines="100" w:line="620" w:lineRule="exact"/>
        <w:ind w:firstLine="420"/>
        <w:jc w:val="center"/>
        <w:rPr>
          <w:rFonts w:ascii="Times New Roman" w:hAnsi="Times New Roman" w:eastAsia="黑体" w:cs="Times New Roman"/>
          <w:b/>
          <w:bCs/>
          <w:color w:val="auto"/>
          <w:sz w:val="32"/>
          <w:szCs w:val="32"/>
          <w:highlight w:val="none"/>
        </w:rPr>
      </w:pPr>
      <w:bookmarkStart w:id="523" w:name="_Toc6333"/>
      <w:bookmarkStart w:id="524" w:name="_Toc393"/>
      <w:bookmarkStart w:id="525" w:name="_Toc16562"/>
      <w:bookmarkStart w:id="526" w:name="_Toc75731259"/>
      <w:bookmarkStart w:id="527" w:name="_Toc5632"/>
      <w:r>
        <w:rPr>
          <w:rFonts w:hint="eastAsia" w:ascii="Times New Roman" w:hAnsi="Times New Roman" w:cs="Times New Roman"/>
          <w:b/>
          <w:bCs/>
          <w:color w:val="auto"/>
          <w:highlight w:val="none"/>
        </w:rPr>
        <w:t>环境影响减缓措施</w:t>
      </w:r>
      <w:bookmarkEnd w:id="523"/>
      <w:bookmarkEnd w:id="524"/>
      <w:bookmarkEnd w:id="525"/>
      <w:bookmarkEnd w:id="526"/>
      <w:bookmarkEnd w:id="527"/>
    </w:p>
    <w:p>
      <w:pPr>
        <w:pStyle w:val="22"/>
        <w:snapToGrid w:val="0"/>
        <w:spacing w:line="560" w:lineRule="exact"/>
        <w:ind w:firstLine="640"/>
        <w:rPr>
          <w:rFonts w:ascii="Times New Roman" w:hAnsi="Times New Roman"/>
          <w:color w:val="auto"/>
          <w:szCs w:val="32"/>
          <w:highlight w:val="none"/>
        </w:rPr>
      </w:pPr>
      <w:r>
        <w:rPr>
          <w:rFonts w:ascii="Times New Roman" w:hAnsi="Times New Roman" w:eastAsia="仿宋_GB2312"/>
          <w:b/>
          <w:bCs w:val="0"/>
          <w:color w:val="auto"/>
          <w:szCs w:val="32"/>
          <w:highlight w:val="none"/>
        </w:rPr>
        <w:t>规划期间的环境保护工作原则</w:t>
      </w:r>
      <w:r>
        <w:rPr>
          <w:rFonts w:hint="eastAsia" w:ascii="Times New Roman" w:hAnsi="Times New Roman"/>
          <w:b/>
          <w:color w:val="auto"/>
          <w:szCs w:val="32"/>
          <w:highlight w:val="none"/>
        </w:rPr>
        <w:t>。</w:t>
      </w:r>
      <w:r>
        <w:rPr>
          <w:rFonts w:ascii="Times New Roman" w:hAnsi="Times New Roman"/>
          <w:color w:val="auto"/>
          <w:szCs w:val="32"/>
          <w:highlight w:val="none"/>
        </w:rPr>
        <w:t>按照全面、协调、可持续发展的原则，处理好项目建设与资源节约、环境保护之间的关系，处理好与相关发展规划的关系；环境保护需作为重要的一项考核指标，落实到今后规划项目设计和具体实施的各个环节中。</w:t>
      </w:r>
    </w:p>
    <w:p>
      <w:pPr>
        <w:pStyle w:val="22"/>
        <w:snapToGrid w:val="0"/>
        <w:spacing w:line="560" w:lineRule="exact"/>
        <w:ind w:firstLine="640"/>
        <w:rPr>
          <w:rFonts w:ascii="Times New Roman" w:hAnsi="Times New Roman"/>
          <w:color w:val="auto"/>
          <w:szCs w:val="32"/>
          <w:highlight w:val="none"/>
        </w:rPr>
      </w:pPr>
      <w:r>
        <w:rPr>
          <w:rFonts w:ascii="Times New Roman" w:hAnsi="Times New Roman" w:eastAsia="仿宋_GB2312"/>
          <w:b/>
          <w:bCs w:val="0"/>
          <w:color w:val="auto"/>
          <w:szCs w:val="32"/>
          <w:highlight w:val="none"/>
        </w:rPr>
        <w:t>减轻不利环境影响的对策措施和要求</w:t>
      </w:r>
      <w:r>
        <w:rPr>
          <w:rFonts w:hint="eastAsia" w:ascii="Times New Roman" w:hAnsi="Times New Roman"/>
          <w:b/>
          <w:color w:val="auto"/>
          <w:szCs w:val="32"/>
          <w:highlight w:val="none"/>
        </w:rPr>
        <w:t>。</w:t>
      </w:r>
      <w:r>
        <w:rPr>
          <w:rFonts w:ascii="Times New Roman" w:hAnsi="Times New Roman"/>
          <w:color w:val="auto"/>
          <w:szCs w:val="32"/>
          <w:highlight w:val="none"/>
        </w:rPr>
        <w:t>减缓种植业环境影响的措施：深入推进化肥减量，集成推广测土配方施肥、水肥一体化、机械施肥等技术，加大生物肥料、水溶肥料、缓控释肥料等新型高效肥料的推广应用力度。深入推进农药减量，大力推广政府购买农作物病虫害绿色防控和统防统治服务，严格控制高毒高残留农药和长残效除草剂使用，鼓励使用高效低毒低残留农药和生物农药，启动高效低毒低残留农药和生物农药使用补贴试点。加强科学选用农膜指导，严禁使用超薄地膜，推广农膜减量替代技术，减少农膜使用量，开展液体地膜、新型可降解地膜试验示范，建立健全农膜回收处理体系。加强农药包装废弃物回收处置，采取政府和社会资本合作、政府购买服务、农药换包装、现金回收、回收保证金等多种方式，建立健全农药包装废弃物回收处置体系。深入推进秸秆肥料化、饲料化、基料化、能源化和原料化利用，持续提高农作物秸秆综合利用率。</w:t>
      </w:r>
    </w:p>
    <w:p>
      <w:pPr>
        <w:pStyle w:val="22"/>
        <w:snapToGrid w:val="0"/>
        <w:spacing w:line="560" w:lineRule="exact"/>
        <w:ind w:firstLine="640"/>
        <w:rPr>
          <w:rFonts w:ascii="Times New Roman" w:hAnsi="Times New Roman"/>
          <w:color w:val="auto"/>
          <w:szCs w:val="32"/>
          <w:highlight w:val="none"/>
        </w:rPr>
      </w:pPr>
      <w:r>
        <w:rPr>
          <w:rFonts w:ascii="Times New Roman" w:hAnsi="Times New Roman"/>
          <w:color w:val="auto"/>
          <w:szCs w:val="32"/>
          <w:highlight w:val="none"/>
        </w:rPr>
        <w:t>缓解养殖业环境影响的措施：加强畜禽养殖污染防治监管，依法关闭或搬迁禁养区内的畜禽养殖场（小区）和养殖专业户。严格落实规模畜禽养殖场（小区）环保主体责任，督促规模畜禽养殖场（小区）切实履行污染防治义务，配套完善畜禽粪污贮存、处理、利用设施，严格控制畜禽养殖污染排放。深入推进畜禽粪污处理和资源化利用，建立健全畜禽粪污收集、存储、运输、处理和综合利用全产业链，提高畜禽粪便还田利用率。科学划定江河湖库渔业禁止养殖区、限制养殖区和养殖区。严格执行水产养殖证制度，强化湖库水质监测。加快老旧池塘改造，促进水产养殖基础设施、生产设施装备全面升级，减少污染物排放。大力推广水产健康养殖技术，因地制宜发展池塘健康养殖、水库生态养殖、稻渔综合种养和流水养殖。</w:t>
      </w:r>
    </w:p>
    <w:p>
      <w:pPr>
        <w:pStyle w:val="22"/>
        <w:snapToGrid w:val="0"/>
        <w:spacing w:line="560" w:lineRule="exact"/>
        <w:ind w:firstLine="640"/>
        <w:rPr>
          <w:rFonts w:ascii="Times New Roman" w:hAnsi="Times New Roman"/>
          <w:color w:val="auto"/>
          <w:szCs w:val="32"/>
          <w:highlight w:val="none"/>
        </w:rPr>
      </w:pPr>
      <w:r>
        <w:rPr>
          <w:rFonts w:ascii="Times New Roman" w:hAnsi="Times New Roman"/>
          <w:color w:val="auto"/>
          <w:szCs w:val="32"/>
          <w:highlight w:val="none"/>
        </w:rPr>
        <w:t>林草资源开发环境影响减缓措施：草场放牧严格实行以草定畜和禁牧期、禁牧区及轮牧制度；在野生生物物种资源丰富的地区，应划定野生生物资源准采区、限采区和禁采区，并严格规范采挖方式；禁止在生态环境敏感区进行外来物种试验和种植放养活动。</w:t>
      </w:r>
    </w:p>
    <w:p>
      <w:pPr>
        <w:pStyle w:val="22"/>
        <w:snapToGrid w:val="0"/>
        <w:spacing w:line="560" w:lineRule="exact"/>
        <w:ind w:firstLine="640"/>
        <w:rPr>
          <w:rFonts w:ascii="Times New Roman" w:hAnsi="Times New Roman"/>
          <w:color w:val="auto"/>
          <w:szCs w:val="32"/>
          <w:highlight w:val="none"/>
        </w:rPr>
      </w:pPr>
      <w:r>
        <w:rPr>
          <w:rFonts w:ascii="Times New Roman" w:hAnsi="Times New Roman"/>
          <w:color w:val="auto"/>
          <w:szCs w:val="32"/>
          <w:highlight w:val="none"/>
        </w:rPr>
        <w:t>对重要环境敏感区域及其生态环境的保护措施和要求：《规划》项目可能涉及一些环境敏感区域，对实施规划有一定制约性。在选址、选线阶段应绕避自然保护区核心区、缓冲区以及饮用水水源保护区，风景名胜区核心景区以及世界自然和文化遗产地、森林公园、重要湿地、文物保护单位等相关法律法规明确规定禁止建设的区域。</w:t>
      </w:r>
    </w:p>
    <w:p>
      <w:pPr>
        <w:pStyle w:val="4"/>
        <w:numPr>
          <w:ilvl w:val="1"/>
          <w:numId w:val="11"/>
        </w:numPr>
        <w:spacing w:before="312" w:beforeLines="100" w:after="312" w:afterLines="100" w:line="620" w:lineRule="exact"/>
        <w:ind w:firstLine="420"/>
        <w:jc w:val="center"/>
        <w:rPr>
          <w:rFonts w:ascii="Times New Roman" w:hAnsi="Times New Roman" w:eastAsia="黑体" w:cs="Times New Roman"/>
          <w:b/>
          <w:bCs/>
          <w:color w:val="auto"/>
          <w:sz w:val="32"/>
          <w:szCs w:val="32"/>
          <w:highlight w:val="none"/>
        </w:rPr>
      </w:pPr>
      <w:bookmarkStart w:id="528" w:name="_Toc25966"/>
      <w:bookmarkStart w:id="529" w:name="_Toc15739"/>
      <w:bookmarkStart w:id="530" w:name="_Toc29197"/>
      <w:bookmarkStart w:id="531" w:name="_Toc13212"/>
      <w:bookmarkStart w:id="532" w:name="_Toc75731260"/>
      <w:r>
        <w:rPr>
          <w:rFonts w:hint="eastAsia" w:ascii="Times New Roman" w:hAnsi="Times New Roman" w:cs="Times New Roman"/>
          <w:b/>
          <w:bCs/>
          <w:color w:val="auto"/>
          <w:highlight w:val="none"/>
        </w:rPr>
        <w:t>综合评述</w:t>
      </w:r>
      <w:bookmarkEnd w:id="528"/>
      <w:bookmarkEnd w:id="529"/>
      <w:bookmarkEnd w:id="530"/>
      <w:bookmarkEnd w:id="531"/>
      <w:bookmarkEnd w:id="532"/>
    </w:p>
    <w:p>
      <w:pPr>
        <w:pStyle w:val="22"/>
        <w:autoSpaceDE w:val="0"/>
        <w:adjustRightInd w:val="0"/>
        <w:snapToGrid w:val="0"/>
        <w:spacing w:line="560" w:lineRule="exact"/>
        <w:ind w:firstLine="640"/>
        <w:rPr>
          <w:rFonts w:ascii="Times New Roman" w:hAnsi="Times New Roman"/>
          <w:color w:val="auto"/>
          <w:szCs w:val="32"/>
          <w:highlight w:val="none"/>
        </w:rPr>
      </w:pPr>
      <w:r>
        <w:rPr>
          <w:rFonts w:ascii="Times New Roman" w:hAnsi="Times New Roman"/>
          <w:color w:val="auto"/>
          <w:szCs w:val="32"/>
          <w:highlight w:val="none"/>
        </w:rPr>
        <w:t>《规划》综合考虑了雅安市现有经济社会发展水平</w:t>
      </w:r>
      <w:r>
        <w:rPr>
          <w:rFonts w:hint="eastAsia" w:ascii="Times New Roman" w:hAnsi="Times New Roman"/>
          <w:color w:val="auto"/>
          <w:szCs w:val="32"/>
          <w:highlight w:val="none"/>
        </w:rPr>
        <w:t>、</w:t>
      </w:r>
      <w:r>
        <w:rPr>
          <w:rFonts w:ascii="Times New Roman" w:hAnsi="Times New Roman"/>
          <w:color w:val="auto"/>
          <w:szCs w:val="32"/>
          <w:highlight w:val="none"/>
        </w:rPr>
        <w:t>人口与资源分布、地形与地貌特点和不同地区的生态环境特征，与国民经济和社会发展以及其他生态环境相关规划基本协调。落实各项预防和减轻不良环境影响的对策措施后，生态影响和环境污染能够得到有效控制，从环境保护角度</w:t>
      </w:r>
      <w:r>
        <w:rPr>
          <w:rFonts w:hint="eastAsia" w:ascii="Times New Roman" w:hAnsi="Times New Roman"/>
          <w:color w:val="auto"/>
          <w:szCs w:val="32"/>
          <w:highlight w:val="none"/>
        </w:rPr>
        <w:t>考虑</w:t>
      </w:r>
      <w:r>
        <w:rPr>
          <w:rFonts w:ascii="Times New Roman" w:hAnsi="Times New Roman"/>
          <w:color w:val="auto"/>
          <w:szCs w:val="32"/>
          <w:highlight w:val="none"/>
        </w:rPr>
        <w:t>，实施本</w:t>
      </w:r>
      <w:r>
        <w:rPr>
          <w:rFonts w:hint="eastAsia" w:ascii="Times New Roman" w:hAnsi="Times New Roman"/>
          <w:color w:val="auto"/>
          <w:szCs w:val="32"/>
          <w:highlight w:val="none"/>
        </w:rPr>
        <w:t>《</w:t>
      </w:r>
      <w:r>
        <w:rPr>
          <w:rFonts w:ascii="Times New Roman" w:hAnsi="Times New Roman"/>
          <w:color w:val="auto"/>
          <w:szCs w:val="32"/>
          <w:highlight w:val="none"/>
        </w:rPr>
        <w:t>规划</w:t>
      </w:r>
      <w:r>
        <w:rPr>
          <w:rFonts w:hint="eastAsia" w:ascii="Times New Roman" w:hAnsi="Times New Roman"/>
          <w:color w:val="auto"/>
          <w:szCs w:val="32"/>
          <w:highlight w:val="none"/>
        </w:rPr>
        <w:t>》</w:t>
      </w:r>
      <w:r>
        <w:rPr>
          <w:rFonts w:ascii="Times New Roman" w:hAnsi="Times New Roman"/>
          <w:color w:val="auto"/>
          <w:szCs w:val="32"/>
          <w:highlight w:val="none"/>
        </w:rPr>
        <w:t>合理和可行</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简体">
    <w:altName w:val="楷体_GB2312"/>
    <w:panose1 w:val="03000509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sdt>
      <w:sdtPr>
        <w:id w:val="1214927441"/>
      </w:sdtPr>
      <w:sdtContent/>
    </w:sdt>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imes New Roman" w:hAnsi="Times New Roman" w:cs="Times New Roman"/>
                              <w:sz w:val="28"/>
                              <w:szCs w:val="28"/>
                            </w:rPr>
                          </w:pPr>
                          <w:r>
                            <w:rPr>
                              <w:rFonts w:hint="eastAsia" w:ascii="宋体" w:hAnsi="宋体" w:eastAsia="宋体" w:cs="宋体"/>
                              <w:sz w:val="28"/>
                              <w:szCs w:val="28"/>
                            </w:rPr>
                            <w:t>—</w:t>
                          </w:r>
                          <w:r>
                            <w:rPr>
                              <w:rFonts w:hint="eastAsia" w:ascii="Times New Roman" w:hAnsi="Times New Roman"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I</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ascii="宋体" w:hAnsi="宋体" w:eastAsia="宋体" w:cs="宋体"/>
                              <w:sz w:val="28"/>
                              <w:szCs w:val="28"/>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10"/>
                      <w:rPr>
                        <w:rFonts w:ascii="Times New Roman" w:hAnsi="Times New Roman" w:cs="Times New Roman"/>
                        <w:sz w:val="28"/>
                        <w:szCs w:val="28"/>
                      </w:rPr>
                    </w:pPr>
                    <w:r>
                      <w:rPr>
                        <w:rFonts w:hint="eastAsia" w:ascii="宋体" w:hAnsi="宋体" w:eastAsia="宋体" w:cs="宋体"/>
                        <w:sz w:val="28"/>
                        <w:szCs w:val="28"/>
                      </w:rPr>
                      <w:t>—</w:t>
                    </w:r>
                    <w:r>
                      <w:rPr>
                        <w:rFonts w:hint="eastAsia" w:ascii="Times New Roman" w:hAnsi="Times New Roman"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I</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ascii="宋体" w:hAnsi="宋体" w:eastAsia="宋体" w:cs="宋体"/>
                        <w:sz w:val="28"/>
                        <w:szCs w:val="28"/>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ascii="Times New Roman" w:hAnsi="Times New Roman" w:cs="Times New Roman"/>
                              <w:sz w:val="28"/>
                              <w:szCs w:val="28"/>
                            </w:rPr>
                          </w:pPr>
                          <w:r>
                            <w:rPr>
                              <w:rFonts w:ascii="Times New Roman" w:hAnsi="Times New Roman"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eastAsia="宋体" w:cs="Times New Roman"/>
                              <w:sz w:val="28"/>
                              <w:szCs w:val="28"/>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kPadVhYCAAAZBAAADgAAAAAAAAABACAAAAA1AQAAZHJzL2Uyb0RvYy54bWxQSwUGAAAAAAYA&#10;BgBZAQAAvQUAAAAA&#10;">
              <v:fill on="f" focussize="0,0"/>
              <v:stroke on="f" weight="0.5pt"/>
              <v:imagedata o:title=""/>
              <o:lock v:ext="edit" aspectratio="f"/>
              <v:textbox inset="0mm,0mm,0mm,0mm" style="mso-fit-shape-to-text:t;">
                <w:txbxContent>
                  <w:p>
                    <w:pPr>
                      <w:pStyle w:val="10"/>
                      <w:rPr>
                        <w:rFonts w:ascii="Times New Roman" w:hAnsi="Times New Roman" w:cs="Times New Roman"/>
                        <w:sz w:val="28"/>
                        <w:szCs w:val="28"/>
                      </w:rPr>
                    </w:pPr>
                    <w:r>
                      <w:rPr>
                        <w:rFonts w:ascii="Times New Roman" w:hAnsi="Times New Roman" w:eastAsia="宋体"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9</w:t>
                    </w:r>
                    <w:r>
                      <w:rPr>
                        <w:rFonts w:ascii="Times New Roman" w:hAnsi="Times New Roman" w:cs="Times New Roman"/>
                        <w:sz w:val="28"/>
                        <w:szCs w:val="28"/>
                      </w:rPr>
                      <w:fldChar w:fldCharType="end"/>
                    </w:r>
                    <w:r>
                      <w:rPr>
                        <w:rFonts w:ascii="Times New Roman" w:hAnsi="Times New Roman" w:cs="Times New Roman"/>
                        <w:sz w:val="28"/>
                        <w:szCs w:val="28"/>
                      </w:rPr>
                      <w:t xml:space="preserve"> </w:t>
                    </w:r>
                    <w:r>
                      <w:rPr>
                        <w:rFonts w:ascii="Times New Roman" w:hAnsi="Times New Roman" w:eastAsia="宋体" w:cs="Times New Roman"/>
                        <w:sz w:val="28"/>
                        <w:szCs w:val="28"/>
                      </w:rPr>
                      <w:t>—</w:t>
                    </w:r>
                  </w:p>
                </w:txbxContent>
              </v:textbox>
            </v:shape>
          </w:pict>
        </mc:Fallback>
      </mc:AlternateContent>
    </w:r>
    <w:sdt>
      <w:sdtPr>
        <w:id w:val="603623741"/>
      </w:sdtPr>
      <w:sdtContent/>
    </w:sdt>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0E79C"/>
    <w:multiLevelType w:val="multilevel"/>
    <w:tmpl w:val="BF80E79C"/>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tabs>
          <w:tab w:val="left" w:pos="0"/>
        </w:tabs>
        <w:ind w:left="0" w:firstLine="402"/>
      </w:pPr>
      <w:rPr>
        <w:rFonts w:hint="eastAsia" w:ascii="宋体" w:hAnsi="宋体" w:eastAsia="黑体" w:cs="宋体"/>
        <w:b/>
        <w:sz w:val="32"/>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
    <w:nsid w:val="EC993963"/>
    <w:multiLevelType w:val="multilevel"/>
    <w:tmpl w:val="EC993963"/>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tabs>
          <w:tab w:val="left" w:pos="0"/>
        </w:tabs>
        <w:ind w:left="0" w:firstLine="402"/>
      </w:pPr>
      <w:rPr>
        <w:rFonts w:hint="eastAsia" w:ascii="宋体" w:hAnsi="宋体" w:eastAsia="黑体" w:cs="宋体"/>
        <w:b/>
        <w:sz w:val="32"/>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2">
    <w:nsid w:val="F546EB11"/>
    <w:multiLevelType w:val="multilevel"/>
    <w:tmpl w:val="F546EB11"/>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tabs>
          <w:tab w:val="left" w:pos="0"/>
        </w:tabs>
        <w:ind w:left="0" w:firstLine="402"/>
      </w:pPr>
      <w:rPr>
        <w:rFonts w:hint="eastAsia" w:ascii="宋体" w:hAnsi="宋体" w:eastAsia="黑体" w:cs="宋体"/>
        <w:b/>
        <w:sz w:val="32"/>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3">
    <w:nsid w:val="01D99555"/>
    <w:multiLevelType w:val="multilevel"/>
    <w:tmpl w:val="01D99555"/>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tabs>
          <w:tab w:val="left" w:pos="0"/>
        </w:tabs>
        <w:ind w:left="0" w:firstLine="402"/>
      </w:pPr>
      <w:rPr>
        <w:rFonts w:hint="eastAsia" w:ascii="宋体" w:hAnsi="宋体" w:eastAsia="黑体" w:cs="宋体"/>
        <w:b/>
        <w:sz w:val="32"/>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4">
    <w:nsid w:val="04DEBE6F"/>
    <w:multiLevelType w:val="multilevel"/>
    <w:tmpl w:val="04DEBE6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tabs>
          <w:tab w:val="left" w:pos="0"/>
        </w:tabs>
        <w:ind w:left="0" w:firstLine="402"/>
      </w:pPr>
      <w:rPr>
        <w:rFonts w:hint="eastAsia" w:ascii="宋体" w:hAnsi="宋体" w:eastAsia="黑体" w:cs="宋体"/>
        <w:b/>
        <w:sz w:val="32"/>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5">
    <w:nsid w:val="0D77BCA8"/>
    <w:multiLevelType w:val="multilevel"/>
    <w:tmpl w:val="0D77BCA8"/>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tabs>
          <w:tab w:val="left" w:pos="0"/>
        </w:tabs>
        <w:ind w:left="0" w:firstLine="402"/>
      </w:pPr>
      <w:rPr>
        <w:rFonts w:hint="eastAsia" w:ascii="宋体" w:hAnsi="宋体" w:eastAsia="黑体" w:cs="宋体"/>
        <w:b/>
        <w:sz w:val="32"/>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6">
    <w:nsid w:val="1EBFD582"/>
    <w:multiLevelType w:val="multilevel"/>
    <w:tmpl w:val="1EBFD582"/>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tabs>
          <w:tab w:val="left" w:pos="0"/>
        </w:tabs>
        <w:ind w:left="0" w:firstLine="402"/>
      </w:pPr>
      <w:rPr>
        <w:rFonts w:hint="eastAsia" w:ascii="宋体" w:hAnsi="宋体" w:eastAsia="黑体" w:cs="宋体"/>
        <w:b/>
        <w:sz w:val="32"/>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7">
    <w:nsid w:val="327B1B8D"/>
    <w:multiLevelType w:val="multilevel"/>
    <w:tmpl w:val="327B1B8D"/>
    <w:lvl w:ilvl="0" w:tentative="0">
      <w:start w:val="1"/>
      <w:numFmt w:val="chineseCounting"/>
      <w:suff w:val="nothing"/>
      <w:lvlText w:val="第%1章  "/>
      <w:lvlJc w:val="left"/>
      <w:pPr>
        <w:tabs>
          <w:tab w:val="left" w:pos="0"/>
        </w:tabs>
        <w:ind w:left="0" w:firstLine="402"/>
      </w:pPr>
      <w:rPr>
        <w:rFonts w:hint="eastAsia" w:ascii="方正小标宋简体" w:hAnsi="方正小标宋简体" w:eastAsia="方正小标宋简体" w:cs="方正小标宋简体"/>
        <w:b/>
        <w:sz w:val="44"/>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8">
    <w:nsid w:val="3D9D6E1A"/>
    <w:multiLevelType w:val="multilevel"/>
    <w:tmpl w:val="3D9D6E1A"/>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tabs>
          <w:tab w:val="left" w:pos="0"/>
        </w:tabs>
        <w:ind w:left="0" w:firstLine="402"/>
      </w:pPr>
      <w:rPr>
        <w:rFonts w:hint="eastAsia" w:ascii="宋体" w:hAnsi="宋体" w:eastAsia="黑体" w:cs="宋体"/>
        <w:b/>
        <w:sz w:val="32"/>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9">
    <w:nsid w:val="5978681F"/>
    <w:multiLevelType w:val="multilevel"/>
    <w:tmpl w:val="5978681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tabs>
          <w:tab w:val="left" w:pos="0"/>
        </w:tabs>
        <w:ind w:left="0" w:firstLine="402"/>
      </w:pPr>
      <w:rPr>
        <w:rFonts w:hint="eastAsia" w:ascii="宋体" w:hAnsi="宋体" w:eastAsia="黑体" w:cs="宋体"/>
        <w:b/>
        <w:sz w:val="32"/>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10">
    <w:nsid w:val="5D57FC5F"/>
    <w:multiLevelType w:val="multilevel"/>
    <w:tmpl w:val="5D57FC5F"/>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tabs>
          <w:tab w:val="left" w:pos="0"/>
        </w:tabs>
        <w:ind w:left="0" w:firstLine="402"/>
      </w:pPr>
      <w:rPr>
        <w:rFonts w:hint="eastAsia" w:ascii="宋体" w:hAnsi="宋体" w:eastAsia="黑体" w:cs="宋体"/>
        <w:b/>
        <w:sz w:val="32"/>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num w:numId="1">
    <w:abstractNumId w:val="7"/>
  </w:num>
  <w:num w:numId="2">
    <w:abstractNumId w:val="10"/>
  </w:num>
  <w:num w:numId="3">
    <w:abstractNumId w:val="0"/>
  </w:num>
  <w:num w:numId="4">
    <w:abstractNumId w:val="5"/>
  </w:num>
  <w:num w:numId="5">
    <w:abstractNumId w:val="4"/>
  </w:num>
  <w:num w:numId="6">
    <w:abstractNumId w:val="8"/>
  </w:num>
  <w:num w:numId="7">
    <w:abstractNumId w:val="2"/>
  </w:num>
  <w:num w:numId="8">
    <w:abstractNumId w:val="3"/>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0F4"/>
    <w:rsid w:val="00003002"/>
    <w:rsid w:val="0000720D"/>
    <w:rsid w:val="00013913"/>
    <w:rsid w:val="00013D86"/>
    <w:rsid w:val="000214E3"/>
    <w:rsid w:val="000238AC"/>
    <w:rsid w:val="000357B7"/>
    <w:rsid w:val="000404F8"/>
    <w:rsid w:val="00041179"/>
    <w:rsid w:val="00047745"/>
    <w:rsid w:val="0005076B"/>
    <w:rsid w:val="00064B07"/>
    <w:rsid w:val="000670E4"/>
    <w:rsid w:val="000717A3"/>
    <w:rsid w:val="00073236"/>
    <w:rsid w:val="00074384"/>
    <w:rsid w:val="00085795"/>
    <w:rsid w:val="00086C21"/>
    <w:rsid w:val="00090E87"/>
    <w:rsid w:val="00097911"/>
    <w:rsid w:val="000A035B"/>
    <w:rsid w:val="000A1027"/>
    <w:rsid w:val="000A3842"/>
    <w:rsid w:val="000B55EE"/>
    <w:rsid w:val="000B5BD9"/>
    <w:rsid w:val="000B63F6"/>
    <w:rsid w:val="000C09FD"/>
    <w:rsid w:val="000C1299"/>
    <w:rsid w:val="000C2468"/>
    <w:rsid w:val="000C3A23"/>
    <w:rsid w:val="000C3C75"/>
    <w:rsid w:val="000C3FFE"/>
    <w:rsid w:val="000C6CAA"/>
    <w:rsid w:val="000D064D"/>
    <w:rsid w:val="000D75D7"/>
    <w:rsid w:val="000F20CF"/>
    <w:rsid w:val="000F40F8"/>
    <w:rsid w:val="000F7AEF"/>
    <w:rsid w:val="00101AF5"/>
    <w:rsid w:val="00104E96"/>
    <w:rsid w:val="001051D7"/>
    <w:rsid w:val="00105661"/>
    <w:rsid w:val="00107660"/>
    <w:rsid w:val="00110B57"/>
    <w:rsid w:val="00111905"/>
    <w:rsid w:val="001162F0"/>
    <w:rsid w:val="001177B3"/>
    <w:rsid w:val="001213A3"/>
    <w:rsid w:val="00122B67"/>
    <w:rsid w:val="00122DFB"/>
    <w:rsid w:val="001240AF"/>
    <w:rsid w:val="001259C0"/>
    <w:rsid w:val="0013083C"/>
    <w:rsid w:val="00131866"/>
    <w:rsid w:val="00143A51"/>
    <w:rsid w:val="0014521C"/>
    <w:rsid w:val="00145D86"/>
    <w:rsid w:val="001530BD"/>
    <w:rsid w:val="00153E92"/>
    <w:rsid w:val="001553D4"/>
    <w:rsid w:val="00156F92"/>
    <w:rsid w:val="00164505"/>
    <w:rsid w:val="00171C0E"/>
    <w:rsid w:val="00172691"/>
    <w:rsid w:val="00180F12"/>
    <w:rsid w:val="0018467C"/>
    <w:rsid w:val="001848F6"/>
    <w:rsid w:val="00197A6C"/>
    <w:rsid w:val="001B355E"/>
    <w:rsid w:val="001B3AFE"/>
    <w:rsid w:val="001B439C"/>
    <w:rsid w:val="001B5763"/>
    <w:rsid w:val="001B745B"/>
    <w:rsid w:val="001C1219"/>
    <w:rsid w:val="001C6A48"/>
    <w:rsid w:val="001D1897"/>
    <w:rsid w:val="001D376F"/>
    <w:rsid w:val="001E273A"/>
    <w:rsid w:val="001E6BE5"/>
    <w:rsid w:val="001F7211"/>
    <w:rsid w:val="001F764A"/>
    <w:rsid w:val="001F7BCD"/>
    <w:rsid w:val="00200086"/>
    <w:rsid w:val="00205244"/>
    <w:rsid w:val="0020703A"/>
    <w:rsid w:val="002077B9"/>
    <w:rsid w:val="0021162A"/>
    <w:rsid w:val="002127DA"/>
    <w:rsid w:val="00220B4E"/>
    <w:rsid w:val="00220E1F"/>
    <w:rsid w:val="002236F2"/>
    <w:rsid w:val="00223D3E"/>
    <w:rsid w:val="00233924"/>
    <w:rsid w:val="00236759"/>
    <w:rsid w:val="0023746A"/>
    <w:rsid w:val="00237721"/>
    <w:rsid w:val="00242873"/>
    <w:rsid w:val="00247D3A"/>
    <w:rsid w:val="00255EDA"/>
    <w:rsid w:val="0025690C"/>
    <w:rsid w:val="00270030"/>
    <w:rsid w:val="00274A9E"/>
    <w:rsid w:val="00275000"/>
    <w:rsid w:val="00281F7D"/>
    <w:rsid w:val="002839F6"/>
    <w:rsid w:val="0029248B"/>
    <w:rsid w:val="00293C16"/>
    <w:rsid w:val="002A6BAF"/>
    <w:rsid w:val="002B5E95"/>
    <w:rsid w:val="002B68AF"/>
    <w:rsid w:val="002B79AA"/>
    <w:rsid w:val="002C2D8A"/>
    <w:rsid w:val="002C38BC"/>
    <w:rsid w:val="002C4810"/>
    <w:rsid w:val="002C727E"/>
    <w:rsid w:val="002D3BCC"/>
    <w:rsid w:val="002D59E6"/>
    <w:rsid w:val="002D7D84"/>
    <w:rsid w:val="002F0B6B"/>
    <w:rsid w:val="002F4F9D"/>
    <w:rsid w:val="00303E3E"/>
    <w:rsid w:val="00306A9E"/>
    <w:rsid w:val="0031395F"/>
    <w:rsid w:val="0031672F"/>
    <w:rsid w:val="00320E32"/>
    <w:rsid w:val="003233BA"/>
    <w:rsid w:val="00330265"/>
    <w:rsid w:val="00340438"/>
    <w:rsid w:val="003438DF"/>
    <w:rsid w:val="00350A85"/>
    <w:rsid w:val="00350FE4"/>
    <w:rsid w:val="00354F04"/>
    <w:rsid w:val="0035747E"/>
    <w:rsid w:val="00360556"/>
    <w:rsid w:val="0036300E"/>
    <w:rsid w:val="003665DA"/>
    <w:rsid w:val="00370A57"/>
    <w:rsid w:val="003752EE"/>
    <w:rsid w:val="003876F5"/>
    <w:rsid w:val="00387EB0"/>
    <w:rsid w:val="003905FB"/>
    <w:rsid w:val="00391613"/>
    <w:rsid w:val="00393178"/>
    <w:rsid w:val="003974AA"/>
    <w:rsid w:val="00397A53"/>
    <w:rsid w:val="003A02C7"/>
    <w:rsid w:val="003A39E8"/>
    <w:rsid w:val="003A5451"/>
    <w:rsid w:val="003B2CDC"/>
    <w:rsid w:val="003C6207"/>
    <w:rsid w:val="003D1B22"/>
    <w:rsid w:val="003D43DC"/>
    <w:rsid w:val="003D5EB3"/>
    <w:rsid w:val="003D70C6"/>
    <w:rsid w:val="003F5E45"/>
    <w:rsid w:val="00401F07"/>
    <w:rsid w:val="00401FC8"/>
    <w:rsid w:val="0040572B"/>
    <w:rsid w:val="00405B3E"/>
    <w:rsid w:val="004103BC"/>
    <w:rsid w:val="00413AAF"/>
    <w:rsid w:val="00420C39"/>
    <w:rsid w:val="0042119F"/>
    <w:rsid w:val="00426B59"/>
    <w:rsid w:val="0043229F"/>
    <w:rsid w:val="00432D5C"/>
    <w:rsid w:val="004374C7"/>
    <w:rsid w:val="004404DB"/>
    <w:rsid w:val="00442262"/>
    <w:rsid w:val="00442573"/>
    <w:rsid w:val="0045177C"/>
    <w:rsid w:val="00455809"/>
    <w:rsid w:val="00456C8B"/>
    <w:rsid w:val="00462DAA"/>
    <w:rsid w:val="00473941"/>
    <w:rsid w:val="00476D20"/>
    <w:rsid w:val="0048067C"/>
    <w:rsid w:val="00480B98"/>
    <w:rsid w:val="004813C1"/>
    <w:rsid w:val="00485648"/>
    <w:rsid w:val="00490D2D"/>
    <w:rsid w:val="00494AEA"/>
    <w:rsid w:val="004972D7"/>
    <w:rsid w:val="00497DE8"/>
    <w:rsid w:val="004A1AB4"/>
    <w:rsid w:val="004A377A"/>
    <w:rsid w:val="004A5F90"/>
    <w:rsid w:val="004B06E8"/>
    <w:rsid w:val="004B3290"/>
    <w:rsid w:val="004B67D7"/>
    <w:rsid w:val="004B7C5C"/>
    <w:rsid w:val="004C2A20"/>
    <w:rsid w:val="004D16E5"/>
    <w:rsid w:val="004D3180"/>
    <w:rsid w:val="004D4431"/>
    <w:rsid w:val="004E0607"/>
    <w:rsid w:val="004E141A"/>
    <w:rsid w:val="004E3387"/>
    <w:rsid w:val="004F5AA6"/>
    <w:rsid w:val="004F6315"/>
    <w:rsid w:val="0051021F"/>
    <w:rsid w:val="00510C3A"/>
    <w:rsid w:val="00510FF9"/>
    <w:rsid w:val="00512444"/>
    <w:rsid w:val="0051536C"/>
    <w:rsid w:val="00523302"/>
    <w:rsid w:val="005239B8"/>
    <w:rsid w:val="005266FB"/>
    <w:rsid w:val="00526F79"/>
    <w:rsid w:val="0053179E"/>
    <w:rsid w:val="00534FC1"/>
    <w:rsid w:val="00536138"/>
    <w:rsid w:val="00536DAF"/>
    <w:rsid w:val="00544ED0"/>
    <w:rsid w:val="00544F18"/>
    <w:rsid w:val="00545021"/>
    <w:rsid w:val="00545B0F"/>
    <w:rsid w:val="00545E17"/>
    <w:rsid w:val="00547234"/>
    <w:rsid w:val="00553609"/>
    <w:rsid w:val="0055492A"/>
    <w:rsid w:val="005566D1"/>
    <w:rsid w:val="00557316"/>
    <w:rsid w:val="0056140A"/>
    <w:rsid w:val="0056323A"/>
    <w:rsid w:val="00563440"/>
    <w:rsid w:val="00563C35"/>
    <w:rsid w:val="005702C6"/>
    <w:rsid w:val="005704FB"/>
    <w:rsid w:val="00570B03"/>
    <w:rsid w:val="0057121D"/>
    <w:rsid w:val="00572ECE"/>
    <w:rsid w:val="00573471"/>
    <w:rsid w:val="00575190"/>
    <w:rsid w:val="00575675"/>
    <w:rsid w:val="00576416"/>
    <w:rsid w:val="005812D5"/>
    <w:rsid w:val="00581AB6"/>
    <w:rsid w:val="00582E74"/>
    <w:rsid w:val="00586E45"/>
    <w:rsid w:val="00587BE9"/>
    <w:rsid w:val="00594B93"/>
    <w:rsid w:val="00597224"/>
    <w:rsid w:val="005A1FC5"/>
    <w:rsid w:val="005A29F1"/>
    <w:rsid w:val="005A36DD"/>
    <w:rsid w:val="005A3CDD"/>
    <w:rsid w:val="005A511E"/>
    <w:rsid w:val="005A52CB"/>
    <w:rsid w:val="005B117C"/>
    <w:rsid w:val="005B5018"/>
    <w:rsid w:val="005B744D"/>
    <w:rsid w:val="005C10BF"/>
    <w:rsid w:val="005C14EC"/>
    <w:rsid w:val="005D313E"/>
    <w:rsid w:val="005D4E60"/>
    <w:rsid w:val="005D51FA"/>
    <w:rsid w:val="005D6A1B"/>
    <w:rsid w:val="005D75D4"/>
    <w:rsid w:val="005E0812"/>
    <w:rsid w:val="005E0E95"/>
    <w:rsid w:val="005E3363"/>
    <w:rsid w:val="005E3B81"/>
    <w:rsid w:val="005E3C79"/>
    <w:rsid w:val="005E7992"/>
    <w:rsid w:val="005F55AD"/>
    <w:rsid w:val="005F6BE1"/>
    <w:rsid w:val="0060420D"/>
    <w:rsid w:val="00604331"/>
    <w:rsid w:val="006075E8"/>
    <w:rsid w:val="00610D76"/>
    <w:rsid w:val="00610E22"/>
    <w:rsid w:val="00614328"/>
    <w:rsid w:val="00615405"/>
    <w:rsid w:val="00616A50"/>
    <w:rsid w:val="00621BE4"/>
    <w:rsid w:val="00621E1B"/>
    <w:rsid w:val="006239BB"/>
    <w:rsid w:val="00623FA0"/>
    <w:rsid w:val="0062556F"/>
    <w:rsid w:val="006263B3"/>
    <w:rsid w:val="006277E1"/>
    <w:rsid w:val="006349B3"/>
    <w:rsid w:val="00635B89"/>
    <w:rsid w:val="00636133"/>
    <w:rsid w:val="00640609"/>
    <w:rsid w:val="00640760"/>
    <w:rsid w:val="006409FE"/>
    <w:rsid w:val="006536A4"/>
    <w:rsid w:val="006639A2"/>
    <w:rsid w:val="006657BD"/>
    <w:rsid w:val="006679AE"/>
    <w:rsid w:val="00667AE8"/>
    <w:rsid w:val="006725C2"/>
    <w:rsid w:val="00675003"/>
    <w:rsid w:val="006814E7"/>
    <w:rsid w:val="00681F53"/>
    <w:rsid w:val="006847B0"/>
    <w:rsid w:val="00684A0A"/>
    <w:rsid w:val="006A1197"/>
    <w:rsid w:val="006A1A8B"/>
    <w:rsid w:val="006A7976"/>
    <w:rsid w:val="006B0E8F"/>
    <w:rsid w:val="006B2999"/>
    <w:rsid w:val="006C32A6"/>
    <w:rsid w:val="006C39B2"/>
    <w:rsid w:val="006C3B10"/>
    <w:rsid w:val="006C6EEA"/>
    <w:rsid w:val="006C78A0"/>
    <w:rsid w:val="006C7C48"/>
    <w:rsid w:val="006D645A"/>
    <w:rsid w:val="006E0495"/>
    <w:rsid w:val="006E1ED1"/>
    <w:rsid w:val="006E2B12"/>
    <w:rsid w:val="006E534E"/>
    <w:rsid w:val="006F0FCD"/>
    <w:rsid w:val="006F24AE"/>
    <w:rsid w:val="006F455D"/>
    <w:rsid w:val="006F45B5"/>
    <w:rsid w:val="00700D6C"/>
    <w:rsid w:val="00701351"/>
    <w:rsid w:val="00707FD7"/>
    <w:rsid w:val="00713BFC"/>
    <w:rsid w:val="00723AD9"/>
    <w:rsid w:val="00724083"/>
    <w:rsid w:val="007245C9"/>
    <w:rsid w:val="00732C23"/>
    <w:rsid w:val="00737AAE"/>
    <w:rsid w:val="00744390"/>
    <w:rsid w:val="00744394"/>
    <w:rsid w:val="00747336"/>
    <w:rsid w:val="00750DFF"/>
    <w:rsid w:val="00752114"/>
    <w:rsid w:val="00756A9F"/>
    <w:rsid w:val="00757876"/>
    <w:rsid w:val="00760BB0"/>
    <w:rsid w:val="007627FA"/>
    <w:rsid w:val="0076443F"/>
    <w:rsid w:val="007644B8"/>
    <w:rsid w:val="00765907"/>
    <w:rsid w:val="007663DF"/>
    <w:rsid w:val="00766AC6"/>
    <w:rsid w:val="00771FD0"/>
    <w:rsid w:val="00775932"/>
    <w:rsid w:val="007768F7"/>
    <w:rsid w:val="007804C5"/>
    <w:rsid w:val="007829F0"/>
    <w:rsid w:val="00787437"/>
    <w:rsid w:val="00792185"/>
    <w:rsid w:val="00797B46"/>
    <w:rsid w:val="00797E80"/>
    <w:rsid w:val="007A1D71"/>
    <w:rsid w:val="007A2FEF"/>
    <w:rsid w:val="007A36E4"/>
    <w:rsid w:val="007A45E9"/>
    <w:rsid w:val="007A4BEE"/>
    <w:rsid w:val="007B00EA"/>
    <w:rsid w:val="007B43E8"/>
    <w:rsid w:val="007C1416"/>
    <w:rsid w:val="007C1B7C"/>
    <w:rsid w:val="007C55F9"/>
    <w:rsid w:val="007C67E1"/>
    <w:rsid w:val="007C6ED5"/>
    <w:rsid w:val="007D3BE2"/>
    <w:rsid w:val="007D4426"/>
    <w:rsid w:val="007D570E"/>
    <w:rsid w:val="007D71D1"/>
    <w:rsid w:val="007F0798"/>
    <w:rsid w:val="007F097B"/>
    <w:rsid w:val="007F7036"/>
    <w:rsid w:val="008003DA"/>
    <w:rsid w:val="00810190"/>
    <w:rsid w:val="00810701"/>
    <w:rsid w:val="008121FF"/>
    <w:rsid w:val="00812963"/>
    <w:rsid w:val="00815031"/>
    <w:rsid w:val="00815519"/>
    <w:rsid w:val="0081597F"/>
    <w:rsid w:val="0081713E"/>
    <w:rsid w:val="008175E1"/>
    <w:rsid w:val="00820968"/>
    <w:rsid w:val="00826E54"/>
    <w:rsid w:val="00827F0B"/>
    <w:rsid w:val="00831566"/>
    <w:rsid w:val="00833A70"/>
    <w:rsid w:val="00836816"/>
    <w:rsid w:val="0084070B"/>
    <w:rsid w:val="00843DD0"/>
    <w:rsid w:val="00844736"/>
    <w:rsid w:val="00844ADD"/>
    <w:rsid w:val="00846D30"/>
    <w:rsid w:val="008512DA"/>
    <w:rsid w:val="00856CDA"/>
    <w:rsid w:val="008570E1"/>
    <w:rsid w:val="00857563"/>
    <w:rsid w:val="00860F80"/>
    <w:rsid w:val="00861C46"/>
    <w:rsid w:val="00865766"/>
    <w:rsid w:val="00865FC5"/>
    <w:rsid w:val="00874817"/>
    <w:rsid w:val="00874EBA"/>
    <w:rsid w:val="00881372"/>
    <w:rsid w:val="00884076"/>
    <w:rsid w:val="00886693"/>
    <w:rsid w:val="00891B82"/>
    <w:rsid w:val="00892738"/>
    <w:rsid w:val="008965BB"/>
    <w:rsid w:val="008A0CE1"/>
    <w:rsid w:val="008A1B34"/>
    <w:rsid w:val="008A2C16"/>
    <w:rsid w:val="008A2D17"/>
    <w:rsid w:val="008A2F14"/>
    <w:rsid w:val="008A6D6D"/>
    <w:rsid w:val="008B0DC1"/>
    <w:rsid w:val="008B14C0"/>
    <w:rsid w:val="008B276B"/>
    <w:rsid w:val="008B733C"/>
    <w:rsid w:val="008C25E3"/>
    <w:rsid w:val="008C3399"/>
    <w:rsid w:val="008C5699"/>
    <w:rsid w:val="008C588F"/>
    <w:rsid w:val="008C7A56"/>
    <w:rsid w:val="008D0C35"/>
    <w:rsid w:val="008D3124"/>
    <w:rsid w:val="008D4A3E"/>
    <w:rsid w:val="008D60EB"/>
    <w:rsid w:val="008D7578"/>
    <w:rsid w:val="008F068C"/>
    <w:rsid w:val="008F0DFC"/>
    <w:rsid w:val="0090160D"/>
    <w:rsid w:val="00901C13"/>
    <w:rsid w:val="00904634"/>
    <w:rsid w:val="00916A5E"/>
    <w:rsid w:val="00931FC9"/>
    <w:rsid w:val="00935740"/>
    <w:rsid w:val="0093763A"/>
    <w:rsid w:val="00937FCA"/>
    <w:rsid w:val="00941D5C"/>
    <w:rsid w:val="009436F3"/>
    <w:rsid w:val="009440AF"/>
    <w:rsid w:val="009455BC"/>
    <w:rsid w:val="00945B34"/>
    <w:rsid w:val="00945EA9"/>
    <w:rsid w:val="0095020F"/>
    <w:rsid w:val="00950EEF"/>
    <w:rsid w:val="0095185A"/>
    <w:rsid w:val="00952AC5"/>
    <w:rsid w:val="0095388C"/>
    <w:rsid w:val="00953C11"/>
    <w:rsid w:val="0096143B"/>
    <w:rsid w:val="00964F08"/>
    <w:rsid w:val="00965F94"/>
    <w:rsid w:val="00967903"/>
    <w:rsid w:val="009710FD"/>
    <w:rsid w:val="00971E77"/>
    <w:rsid w:val="00973414"/>
    <w:rsid w:val="009735F7"/>
    <w:rsid w:val="00980162"/>
    <w:rsid w:val="009803EB"/>
    <w:rsid w:val="00993829"/>
    <w:rsid w:val="009969C0"/>
    <w:rsid w:val="009A027B"/>
    <w:rsid w:val="009A1394"/>
    <w:rsid w:val="009A1EB4"/>
    <w:rsid w:val="009A36C0"/>
    <w:rsid w:val="009B050D"/>
    <w:rsid w:val="009B281C"/>
    <w:rsid w:val="009B2B10"/>
    <w:rsid w:val="009C05CC"/>
    <w:rsid w:val="009C1B4E"/>
    <w:rsid w:val="009C2E20"/>
    <w:rsid w:val="009C4924"/>
    <w:rsid w:val="009C4C87"/>
    <w:rsid w:val="009C5D98"/>
    <w:rsid w:val="009C5DF0"/>
    <w:rsid w:val="009C6B92"/>
    <w:rsid w:val="009D1F0B"/>
    <w:rsid w:val="009D45BE"/>
    <w:rsid w:val="009D726C"/>
    <w:rsid w:val="009D7B33"/>
    <w:rsid w:val="009D7DD8"/>
    <w:rsid w:val="009E0EB6"/>
    <w:rsid w:val="009E1C41"/>
    <w:rsid w:val="009E3872"/>
    <w:rsid w:val="009E43D7"/>
    <w:rsid w:val="009E5C0E"/>
    <w:rsid w:val="009E6CD4"/>
    <w:rsid w:val="009F23D4"/>
    <w:rsid w:val="009F33A4"/>
    <w:rsid w:val="009F65F3"/>
    <w:rsid w:val="00A029C9"/>
    <w:rsid w:val="00A071BB"/>
    <w:rsid w:val="00A07D86"/>
    <w:rsid w:val="00A07DDA"/>
    <w:rsid w:val="00A11D13"/>
    <w:rsid w:val="00A16751"/>
    <w:rsid w:val="00A176B2"/>
    <w:rsid w:val="00A252DF"/>
    <w:rsid w:val="00A26892"/>
    <w:rsid w:val="00A40172"/>
    <w:rsid w:val="00A405C5"/>
    <w:rsid w:val="00A408DA"/>
    <w:rsid w:val="00A40D94"/>
    <w:rsid w:val="00A42642"/>
    <w:rsid w:val="00A429F0"/>
    <w:rsid w:val="00A443F3"/>
    <w:rsid w:val="00A53591"/>
    <w:rsid w:val="00A550F4"/>
    <w:rsid w:val="00A552E8"/>
    <w:rsid w:val="00A5561F"/>
    <w:rsid w:val="00A55F55"/>
    <w:rsid w:val="00A6227B"/>
    <w:rsid w:val="00A646C1"/>
    <w:rsid w:val="00A65EE5"/>
    <w:rsid w:val="00A66825"/>
    <w:rsid w:val="00A728BB"/>
    <w:rsid w:val="00A74195"/>
    <w:rsid w:val="00A920B8"/>
    <w:rsid w:val="00A93078"/>
    <w:rsid w:val="00AA35D2"/>
    <w:rsid w:val="00AA4FDC"/>
    <w:rsid w:val="00AB256C"/>
    <w:rsid w:val="00AB2799"/>
    <w:rsid w:val="00AB6310"/>
    <w:rsid w:val="00AB7515"/>
    <w:rsid w:val="00AC0231"/>
    <w:rsid w:val="00AC0497"/>
    <w:rsid w:val="00AC13B6"/>
    <w:rsid w:val="00AC193A"/>
    <w:rsid w:val="00AC6392"/>
    <w:rsid w:val="00AD04A2"/>
    <w:rsid w:val="00AD0831"/>
    <w:rsid w:val="00AD20F9"/>
    <w:rsid w:val="00AD6E3B"/>
    <w:rsid w:val="00AD7E29"/>
    <w:rsid w:val="00AE2B50"/>
    <w:rsid w:val="00AE2D4B"/>
    <w:rsid w:val="00AE3DDB"/>
    <w:rsid w:val="00AE59EA"/>
    <w:rsid w:val="00AF0639"/>
    <w:rsid w:val="00AF331F"/>
    <w:rsid w:val="00AF3611"/>
    <w:rsid w:val="00AF5191"/>
    <w:rsid w:val="00B04142"/>
    <w:rsid w:val="00B0434A"/>
    <w:rsid w:val="00B05016"/>
    <w:rsid w:val="00B11AB9"/>
    <w:rsid w:val="00B12F08"/>
    <w:rsid w:val="00B1399F"/>
    <w:rsid w:val="00B13D29"/>
    <w:rsid w:val="00B171E4"/>
    <w:rsid w:val="00B256E5"/>
    <w:rsid w:val="00B309E4"/>
    <w:rsid w:val="00B32A32"/>
    <w:rsid w:val="00B33951"/>
    <w:rsid w:val="00B33C04"/>
    <w:rsid w:val="00B3448E"/>
    <w:rsid w:val="00B345CE"/>
    <w:rsid w:val="00B37115"/>
    <w:rsid w:val="00B4027B"/>
    <w:rsid w:val="00B40DDE"/>
    <w:rsid w:val="00B462C4"/>
    <w:rsid w:val="00B47075"/>
    <w:rsid w:val="00B52D08"/>
    <w:rsid w:val="00B53BA0"/>
    <w:rsid w:val="00B56406"/>
    <w:rsid w:val="00B6582E"/>
    <w:rsid w:val="00B73A3E"/>
    <w:rsid w:val="00B80100"/>
    <w:rsid w:val="00B82FB1"/>
    <w:rsid w:val="00B93B50"/>
    <w:rsid w:val="00BA2AEF"/>
    <w:rsid w:val="00BA7645"/>
    <w:rsid w:val="00BB3483"/>
    <w:rsid w:val="00BB5E10"/>
    <w:rsid w:val="00BC2305"/>
    <w:rsid w:val="00BC495C"/>
    <w:rsid w:val="00BC63F5"/>
    <w:rsid w:val="00BC6B2B"/>
    <w:rsid w:val="00BD1D26"/>
    <w:rsid w:val="00BD4756"/>
    <w:rsid w:val="00BD4B9E"/>
    <w:rsid w:val="00C10F4D"/>
    <w:rsid w:val="00C16306"/>
    <w:rsid w:val="00C2427A"/>
    <w:rsid w:val="00C257DE"/>
    <w:rsid w:val="00C267F5"/>
    <w:rsid w:val="00C30B0D"/>
    <w:rsid w:val="00C33D1B"/>
    <w:rsid w:val="00C343B6"/>
    <w:rsid w:val="00C3685D"/>
    <w:rsid w:val="00C370EE"/>
    <w:rsid w:val="00C47425"/>
    <w:rsid w:val="00C508EB"/>
    <w:rsid w:val="00C51B16"/>
    <w:rsid w:val="00C523B1"/>
    <w:rsid w:val="00C6065F"/>
    <w:rsid w:val="00C62C0B"/>
    <w:rsid w:val="00C66199"/>
    <w:rsid w:val="00C73363"/>
    <w:rsid w:val="00C80314"/>
    <w:rsid w:val="00C80AB0"/>
    <w:rsid w:val="00C844CB"/>
    <w:rsid w:val="00C8551A"/>
    <w:rsid w:val="00C90B17"/>
    <w:rsid w:val="00C936D3"/>
    <w:rsid w:val="00C95D1D"/>
    <w:rsid w:val="00CA26A5"/>
    <w:rsid w:val="00CA2BF8"/>
    <w:rsid w:val="00CA4B4C"/>
    <w:rsid w:val="00CB164A"/>
    <w:rsid w:val="00CB2B57"/>
    <w:rsid w:val="00CB549C"/>
    <w:rsid w:val="00CC0285"/>
    <w:rsid w:val="00CC1E9D"/>
    <w:rsid w:val="00CC3687"/>
    <w:rsid w:val="00CC5E32"/>
    <w:rsid w:val="00CD3B3C"/>
    <w:rsid w:val="00CD4AC6"/>
    <w:rsid w:val="00CD5935"/>
    <w:rsid w:val="00CD62A6"/>
    <w:rsid w:val="00CE1404"/>
    <w:rsid w:val="00CE383F"/>
    <w:rsid w:val="00CE6791"/>
    <w:rsid w:val="00CE6814"/>
    <w:rsid w:val="00CF1C7F"/>
    <w:rsid w:val="00CF26A0"/>
    <w:rsid w:val="00CF2D1A"/>
    <w:rsid w:val="00CF6968"/>
    <w:rsid w:val="00D016DC"/>
    <w:rsid w:val="00D104C5"/>
    <w:rsid w:val="00D11A9A"/>
    <w:rsid w:val="00D12855"/>
    <w:rsid w:val="00D14F41"/>
    <w:rsid w:val="00D17CD7"/>
    <w:rsid w:val="00D22613"/>
    <w:rsid w:val="00D23A64"/>
    <w:rsid w:val="00D31212"/>
    <w:rsid w:val="00D33FEB"/>
    <w:rsid w:val="00D36F98"/>
    <w:rsid w:val="00D41026"/>
    <w:rsid w:val="00D42B62"/>
    <w:rsid w:val="00D430AF"/>
    <w:rsid w:val="00D512BC"/>
    <w:rsid w:val="00D52364"/>
    <w:rsid w:val="00D535D6"/>
    <w:rsid w:val="00D557A3"/>
    <w:rsid w:val="00D57641"/>
    <w:rsid w:val="00D57EC9"/>
    <w:rsid w:val="00D641E4"/>
    <w:rsid w:val="00D64487"/>
    <w:rsid w:val="00D70478"/>
    <w:rsid w:val="00D721CF"/>
    <w:rsid w:val="00D74905"/>
    <w:rsid w:val="00D749BF"/>
    <w:rsid w:val="00D74A09"/>
    <w:rsid w:val="00D778DA"/>
    <w:rsid w:val="00D80910"/>
    <w:rsid w:val="00D81221"/>
    <w:rsid w:val="00D844EC"/>
    <w:rsid w:val="00D8455B"/>
    <w:rsid w:val="00D91099"/>
    <w:rsid w:val="00D91CCD"/>
    <w:rsid w:val="00D94048"/>
    <w:rsid w:val="00D9677D"/>
    <w:rsid w:val="00D9773E"/>
    <w:rsid w:val="00DA1F97"/>
    <w:rsid w:val="00DA458E"/>
    <w:rsid w:val="00DA63E4"/>
    <w:rsid w:val="00DB0179"/>
    <w:rsid w:val="00DB14E9"/>
    <w:rsid w:val="00DB5F01"/>
    <w:rsid w:val="00DB5FCE"/>
    <w:rsid w:val="00DB6EA6"/>
    <w:rsid w:val="00DC0947"/>
    <w:rsid w:val="00DC3F34"/>
    <w:rsid w:val="00DC51A1"/>
    <w:rsid w:val="00DC7CF2"/>
    <w:rsid w:val="00DD27B7"/>
    <w:rsid w:val="00DD5BB4"/>
    <w:rsid w:val="00DE10E0"/>
    <w:rsid w:val="00DE3728"/>
    <w:rsid w:val="00DE7511"/>
    <w:rsid w:val="00DF47D6"/>
    <w:rsid w:val="00DF6045"/>
    <w:rsid w:val="00E045AF"/>
    <w:rsid w:val="00E05A07"/>
    <w:rsid w:val="00E05A38"/>
    <w:rsid w:val="00E159D5"/>
    <w:rsid w:val="00E15FD8"/>
    <w:rsid w:val="00E16BF1"/>
    <w:rsid w:val="00E16D37"/>
    <w:rsid w:val="00E2681E"/>
    <w:rsid w:val="00E27825"/>
    <w:rsid w:val="00E31A79"/>
    <w:rsid w:val="00E41442"/>
    <w:rsid w:val="00E50C40"/>
    <w:rsid w:val="00E5262C"/>
    <w:rsid w:val="00E53EB1"/>
    <w:rsid w:val="00E66C0C"/>
    <w:rsid w:val="00E66FDA"/>
    <w:rsid w:val="00E72DEF"/>
    <w:rsid w:val="00E7543F"/>
    <w:rsid w:val="00E7753C"/>
    <w:rsid w:val="00E82DFC"/>
    <w:rsid w:val="00E84433"/>
    <w:rsid w:val="00E84CCF"/>
    <w:rsid w:val="00E8546A"/>
    <w:rsid w:val="00E86749"/>
    <w:rsid w:val="00E90E71"/>
    <w:rsid w:val="00E95C7D"/>
    <w:rsid w:val="00E970E6"/>
    <w:rsid w:val="00E97B06"/>
    <w:rsid w:val="00EA23A3"/>
    <w:rsid w:val="00EA4349"/>
    <w:rsid w:val="00EA52B0"/>
    <w:rsid w:val="00EA57F5"/>
    <w:rsid w:val="00EA6017"/>
    <w:rsid w:val="00EA63F3"/>
    <w:rsid w:val="00EB47B6"/>
    <w:rsid w:val="00EB7636"/>
    <w:rsid w:val="00EC422B"/>
    <w:rsid w:val="00EC4819"/>
    <w:rsid w:val="00EC634C"/>
    <w:rsid w:val="00EC6FCA"/>
    <w:rsid w:val="00EC73A6"/>
    <w:rsid w:val="00EC79F2"/>
    <w:rsid w:val="00ED065F"/>
    <w:rsid w:val="00ED0AE8"/>
    <w:rsid w:val="00ED1DFA"/>
    <w:rsid w:val="00ED3E15"/>
    <w:rsid w:val="00ED4D97"/>
    <w:rsid w:val="00ED7B3F"/>
    <w:rsid w:val="00EE1C64"/>
    <w:rsid w:val="00EE37DB"/>
    <w:rsid w:val="00EE71A1"/>
    <w:rsid w:val="00EF0226"/>
    <w:rsid w:val="00EF3E8E"/>
    <w:rsid w:val="00EF3F4C"/>
    <w:rsid w:val="00EF6092"/>
    <w:rsid w:val="00F01CAF"/>
    <w:rsid w:val="00F06C46"/>
    <w:rsid w:val="00F07984"/>
    <w:rsid w:val="00F114B6"/>
    <w:rsid w:val="00F11A52"/>
    <w:rsid w:val="00F12115"/>
    <w:rsid w:val="00F148B7"/>
    <w:rsid w:val="00F15306"/>
    <w:rsid w:val="00F168CE"/>
    <w:rsid w:val="00F21D7A"/>
    <w:rsid w:val="00F25116"/>
    <w:rsid w:val="00F270F4"/>
    <w:rsid w:val="00F311C1"/>
    <w:rsid w:val="00F3396E"/>
    <w:rsid w:val="00F339FF"/>
    <w:rsid w:val="00F33EF3"/>
    <w:rsid w:val="00F342C2"/>
    <w:rsid w:val="00F3586D"/>
    <w:rsid w:val="00F35F8B"/>
    <w:rsid w:val="00F50550"/>
    <w:rsid w:val="00F50DEC"/>
    <w:rsid w:val="00F52577"/>
    <w:rsid w:val="00F555A7"/>
    <w:rsid w:val="00F562BA"/>
    <w:rsid w:val="00F6310F"/>
    <w:rsid w:val="00F66E00"/>
    <w:rsid w:val="00F677A8"/>
    <w:rsid w:val="00F7286A"/>
    <w:rsid w:val="00F74C00"/>
    <w:rsid w:val="00F75D48"/>
    <w:rsid w:val="00F774AA"/>
    <w:rsid w:val="00F834DB"/>
    <w:rsid w:val="00F84353"/>
    <w:rsid w:val="00F87F4C"/>
    <w:rsid w:val="00F92FB5"/>
    <w:rsid w:val="00F952F3"/>
    <w:rsid w:val="00FA1006"/>
    <w:rsid w:val="00FA23A3"/>
    <w:rsid w:val="00FA56EF"/>
    <w:rsid w:val="00FB0456"/>
    <w:rsid w:val="00FB387D"/>
    <w:rsid w:val="00FB5A47"/>
    <w:rsid w:val="00FB5F3D"/>
    <w:rsid w:val="00FB7D55"/>
    <w:rsid w:val="00FC107F"/>
    <w:rsid w:val="00FC183F"/>
    <w:rsid w:val="00FC1FB4"/>
    <w:rsid w:val="00FC3432"/>
    <w:rsid w:val="00FC350F"/>
    <w:rsid w:val="00FC5203"/>
    <w:rsid w:val="00FD30A0"/>
    <w:rsid w:val="00FD7CF4"/>
    <w:rsid w:val="00FE18AA"/>
    <w:rsid w:val="00FF12E8"/>
    <w:rsid w:val="00FF199F"/>
    <w:rsid w:val="00FF2923"/>
    <w:rsid w:val="021411A2"/>
    <w:rsid w:val="02167F0B"/>
    <w:rsid w:val="025715E4"/>
    <w:rsid w:val="0264574E"/>
    <w:rsid w:val="02741169"/>
    <w:rsid w:val="03972E1A"/>
    <w:rsid w:val="03E313A3"/>
    <w:rsid w:val="0406353D"/>
    <w:rsid w:val="043F7A5B"/>
    <w:rsid w:val="04584BBA"/>
    <w:rsid w:val="04DB249B"/>
    <w:rsid w:val="04E8075F"/>
    <w:rsid w:val="05315D40"/>
    <w:rsid w:val="054114D0"/>
    <w:rsid w:val="056D08AE"/>
    <w:rsid w:val="05C8081E"/>
    <w:rsid w:val="05D40513"/>
    <w:rsid w:val="05E201EF"/>
    <w:rsid w:val="06394A4F"/>
    <w:rsid w:val="06533142"/>
    <w:rsid w:val="06FB1442"/>
    <w:rsid w:val="0717131C"/>
    <w:rsid w:val="07C34058"/>
    <w:rsid w:val="07FC5661"/>
    <w:rsid w:val="08267386"/>
    <w:rsid w:val="085277C6"/>
    <w:rsid w:val="08BB0554"/>
    <w:rsid w:val="09327A01"/>
    <w:rsid w:val="09A2122D"/>
    <w:rsid w:val="09ED168B"/>
    <w:rsid w:val="0A025AFE"/>
    <w:rsid w:val="0A392A42"/>
    <w:rsid w:val="0A504CF0"/>
    <w:rsid w:val="0AA14E93"/>
    <w:rsid w:val="0ABB46BC"/>
    <w:rsid w:val="0ADA3ACF"/>
    <w:rsid w:val="0B025DB1"/>
    <w:rsid w:val="0BCA133A"/>
    <w:rsid w:val="0CAA35D4"/>
    <w:rsid w:val="0D121C54"/>
    <w:rsid w:val="0D4E5AA3"/>
    <w:rsid w:val="0E032658"/>
    <w:rsid w:val="0E4E462F"/>
    <w:rsid w:val="0E642202"/>
    <w:rsid w:val="0EAB477D"/>
    <w:rsid w:val="0EC61161"/>
    <w:rsid w:val="0EDB1388"/>
    <w:rsid w:val="0F82037D"/>
    <w:rsid w:val="0FF85E60"/>
    <w:rsid w:val="10047331"/>
    <w:rsid w:val="100869FC"/>
    <w:rsid w:val="1013073F"/>
    <w:rsid w:val="10572E81"/>
    <w:rsid w:val="106F7E25"/>
    <w:rsid w:val="10953F77"/>
    <w:rsid w:val="10E51FC1"/>
    <w:rsid w:val="11147395"/>
    <w:rsid w:val="112635D7"/>
    <w:rsid w:val="11596678"/>
    <w:rsid w:val="11672409"/>
    <w:rsid w:val="11717474"/>
    <w:rsid w:val="118A1A87"/>
    <w:rsid w:val="119A3A2B"/>
    <w:rsid w:val="11B563B5"/>
    <w:rsid w:val="11D2155F"/>
    <w:rsid w:val="127C000F"/>
    <w:rsid w:val="128B5A00"/>
    <w:rsid w:val="12F161CF"/>
    <w:rsid w:val="12F96619"/>
    <w:rsid w:val="136C1570"/>
    <w:rsid w:val="13AF6767"/>
    <w:rsid w:val="13D5082E"/>
    <w:rsid w:val="141C1042"/>
    <w:rsid w:val="141C5733"/>
    <w:rsid w:val="141D4AE8"/>
    <w:rsid w:val="14287B2B"/>
    <w:rsid w:val="1440088A"/>
    <w:rsid w:val="15217762"/>
    <w:rsid w:val="16103D4A"/>
    <w:rsid w:val="16A42A67"/>
    <w:rsid w:val="16FC79A0"/>
    <w:rsid w:val="16FD7747"/>
    <w:rsid w:val="173178C4"/>
    <w:rsid w:val="17452A19"/>
    <w:rsid w:val="1750693D"/>
    <w:rsid w:val="17B92106"/>
    <w:rsid w:val="18263103"/>
    <w:rsid w:val="18864712"/>
    <w:rsid w:val="18A457D2"/>
    <w:rsid w:val="199731D6"/>
    <w:rsid w:val="19F5331C"/>
    <w:rsid w:val="1A0C673B"/>
    <w:rsid w:val="1A625FAD"/>
    <w:rsid w:val="1B036E2C"/>
    <w:rsid w:val="1B9762D5"/>
    <w:rsid w:val="1C4F4356"/>
    <w:rsid w:val="1CB329C0"/>
    <w:rsid w:val="1D535D59"/>
    <w:rsid w:val="1DAD3DA5"/>
    <w:rsid w:val="1DFC002E"/>
    <w:rsid w:val="1E0733B0"/>
    <w:rsid w:val="1E5E2ED3"/>
    <w:rsid w:val="1F121C9D"/>
    <w:rsid w:val="1F421700"/>
    <w:rsid w:val="1F654FDD"/>
    <w:rsid w:val="1F6C2B5D"/>
    <w:rsid w:val="1F71317A"/>
    <w:rsid w:val="1FBD01A0"/>
    <w:rsid w:val="1FFA664D"/>
    <w:rsid w:val="205F315B"/>
    <w:rsid w:val="20D40DB8"/>
    <w:rsid w:val="21255C8A"/>
    <w:rsid w:val="2128015A"/>
    <w:rsid w:val="21553017"/>
    <w:rsid w:val="216437E9"/>
    <w:rsid w:val="228D228C"/>
    <w:rsid w:val="22A47E58"/>
    <w:rsid w:val="22C04B89"/>
    <w:rsid w:val="22F71835"/>
    <w:rsid w:val="232A622A"/>
    <w:rsid w:val="232D2D1F"/>
    <w:rsid w:val="23D40594"/>
    <w:rsid w:val="243A740D"/>
    <w:rsid w:val="243F0652"/>
    <w:rsid w:val="25471809"/>
    <w:rsid w:val="25EF784D"/>
    <w:rsid w:val="25F66173"/>
    <w:rsid w:val="26447183"/>
    <w:rsid w:val="26535DE4"/>
    <w:rsid w:val="271B1609"/>
    <w:rsid w:val="27547265"/>
    <w:rsid w:val="27555A13"/>
    <w:rsid w:val="27A14190"/>
    <w:rsid w:val="27DE055A"/>
    <w:rsid w:val="280916E9"/>
    <w:rsid w:val="280E7C61"/>
    <w:rsid w:val="28312AD7"/>
    <w:rsid w:val="28347089"/>
    <w:rsid w:val="28BF0319"/>
    <w:rsid w:val="28E4055D"/>
    <w:rsid w:val="290B4D85"/>
    <w:rsid w:val="2933305F"/>
    <w:rsid w:val="299F3D99"/>
    <w:rsid w:val="29DD2FF0"/>
    <w:rsid w:val="2AAA3F70"/>
    <w:rsid w:val="2AE052D5"/>
    <w:rsid w:val="2AF315D9"/>
    <w:rsid w:val="2B015DF4"/>
    <w:rsid w:val="2B9E495F"/>
    <w:rsid w:val="2C1F4A1C"/>
    <w:rsid w:val="2C247598"/>
    <w:rsid w:val="2C313A7F"/>
    <w:rsid w:val="2C4C66AB"/>
    <w:rsid w:val="2CA80152"/>
    <w:rsid w:val="2CBD29DF"/>
    <w:rsid w:val="2CFD272B"/>
    <w:rsid w:val="2D4B032A"/>
    <w:rsid w:val="2DB022C3"/>
    <w:rsid w:val="2E0A7985"/>
    <w:rsid w:val="2E142531"/>
    <w:rsid w:val="2E40506C"/>
    <w:rsid w:val="2E5D02C5"/>
    <w:rsid w:val="2E6C26D1"/>
    <w:rsid w:val="2E6E7E8E"/>
    <w:rsid w:val="2EAC4478"/>
    <w:rsid w:val="2EBA7E92"/>
    <w:rsid w:val="2EE41A5B"/>
    <w:rsid w:val="2EED0A08"/>
    <w:rsid w:val="2EF928FE"/>
    <w:rsid w:val="2EFE30FC"/>
    <w:rsid w:val="2F362C35"/>
    <w:rsid w:val="2F9C5E49"/>
    <w:rsid w:val="2FAE47BE"/>
    <w:rsid w:val="2FF77302"/>
    <w:rsid w:val="30912275"/>
    <w:rsid w:val="30E25D7C"/>
    <w:rsid w:val="31780C9C"/>
    <w:rsid w:val="32631F01"/>
    <w:rsid w:val="330B6AE6"/>
    <w:rsid w:val="33342D8F"/>
    <w:rsid w:val="333642CE"/>
    <w:rsid w:val="3358296E"/>
    <w:rsid w:val="33655965"/>
    <w:rsid w:val="33E30135"/>
    <w:rsid w:val="348B4F00"/>
    <w:rsid w:val="34A766D6"/>
    <w:rsid w:val="352F5D37"/>
    <w:rsid w:val="3530523F"/>
    <w:rsid w:val="374C22C3"/>
    <w:rsid w:val="375100E1"/>
    <w:rsid w:val="376C4E53"/>
    <w:rsid w:val="380317CB"/>
    <w:rsid w:val="385C002C"/>
    <w:rsid w:val="386333C1"/>
    <w:rsid w:val="38835682"/>
    <w:rsid w:val="388A51F1"/>
    <w:rsid w:val="39482434"/>
    <w:rsid w:val="39F33401"/>
    <w:rsid w:val="3A800636"/>
    <w:rsid w:val="3AAA705B"/>
    <w:rsid w:val="3B233229"/>
    <w:rsid w:val="3B402814"/>
    <w:rsid w:val="3C4773E2"/>
    <w:rsid w:val="3D207BDE"/>
    <w:rsid w:val="3D5D44AA"/>
    <w:rsid w:val="3DAB4741"/>
    <w:rsid w:val="3E2024F9"/>
    <w:rsid w:val="3E2F2D25"/>
    <w:rsid w:val="3E6C0309"/>
    <w:rsid w:val="3F4A1303"/>
    <w:rsid w:val="3F6D6DF1"/>
    <w:rsid w:val="3F7468C1"/>
    <w:rsid w:val="3FAB36AD"/>
    <w:rsid w:val="3FC4190E"/>
    <w:rsid w:val="402265A8"/>
    <w:rsid w:val="4084434E"/>
    <w:rsid w:val="41497BCF"/>
    <w:rsid w:val="414F0F1F"/>
    <w:rsid w:val="416C5088"/>
    <w:rsid w:val="41BA250F"/>
    <w:rsid w:val="41C074C7"/>
    <w:rsid w:val="424B0FC3"/>
    <w:rsid w:val="42F64740"/>
    <w:rsid w:val="439D65F1"/>
    <w:rsid w:val="43A62CE1"/>
    <w:rsid w:val="44CF2723"/>
    <w:rsid w:val="46897740"/>
    <w:rsid w:val="476B44AD"/>
    <w:rsid w:val="47D26E84"/>
    <w:rsid w:val="48363077"/>
    <w:rsid w:val="4839194A"/>
    <w:rsid w:val="486A04CB"/>
    <w:rsid w:val="489D759E"/>
    <w:rsid w:val="48F72899"/>
    <w:rsid w:val="498214F5"/>
    <w:rsid w:val="49941723"/>
    <w:rsid w:val="4AD40F20"/>
    <w:rsid w:val="4B7E24DD"/>
    <w:rsid w:val="4C951795"/>
    <w:rsid w:val="4D1001BA"/>
    <w:rsid w:val="4D4B4319"/>
    <w:rsid w:val="4D67621F"/>
    <w:rsid w:val="4D6E6F3A"/>
    <w:rsid w:val="4DA22FF7"/>
    <w:rsid w:val="4EA56FA7"/>
    <w:rsid w:val="4F8C641C"/>
    <w:rsid w:val="500B1473"/>
    <w:rsid w:val="50250F38"/>
    <w:rsid w:val="50BB23C2"/>
    <w:rsid w:val="50F31417"/>
    <w:rsid w:val="50F631A8"/>
    <w:rsid w:val="51262FFA"/>
    <w:rsid w:val="5168099F"/>
    <w:rsid w:val="516D1622"/>
    <w:rsid w:val="51835AE9"/>
    <w:rsid w:val="51E9410D"/>
    <w:rsid w:val="523E7330"/>
    <w:rsid w:val="52B45E2B"/>
    <w:rsid w:val="52CB2AB2"/>
    <w:rsid w:val="531E5388"/>
    <w:rsid w:val="53990C5E"/>
    <w:rsid w:val="53B961C8"/>
    <w:rsid w:val="53E2565C"/>
    <w:rsid w:val="54064508"/>
    <w:rsid w:val="54077906"/>
    <w:rsid w:val="540C54DA"/>
    <w:rsid w:val="54394C89"/>
    <w:rsid w:val="54E828CA"/>
    <w:rsid w:val="54EE56D2"/>
    <w:rsid w:val="55044AE3"/>
    <w:rsid w:val="5508710A"/>
    <w:rsid w:val="55587B37"/>
    <w:rsid w:val="55633065"/>
    <w:rsid w:val="55916BB4"/>
    <w:rsid w:val="56986C37"/>
    <w:rsid w:val="56F8420D"/>
    <w:rsid w:val="576A4003"/>
    <w:rsid w:val="58771CEF"/>
    <w:rsid w:val="5929743D"/>
    <w:rsid w:val="5A3D7EA5"/>
    <w:rsid w:val="5A8F3130"/>
    <w:rsid w:val="5AC12357"/>
    <w:rsid w:val="5AF85D2B"/>
    <w:rsid w:val="5B06087D"/>
    <w:rsid w:val="5B4449B8"/>
    <w:rsid w:val="5B6A3290"/>
    <w:rsid w:val="5B95332F"/>
    <w:rsid w:val="5BB7483C"/>
    <w:rsid w:val="5C782680"/>
    <w:rsid w:val="5C8A73D3"/>
    <w:rsid w:val="5D785A76"/>
    <w:rsid w:val="5DDC5909"/>
    <w:rsid w:val="5DF61552"/>
    <w:rsid w:val="5F143CA3"/>
    <w:rsid w:val="5F5E1C5E"/>
    <w:rsid w:val="5F892C29"/>
    <w:rsid w:val="5FF1247B"/>
    <w:rsid w:val="600D4E98"/>
    <w:rsid w:val="6010749E"/>
    <w:rsid w:val="60302246"/>
    <w:rsid w:val="60E2187E"/>
    <w:rsid w:val="61163075"/>
    <w:rsid w:val="61E75C6D"/>
    <w:rsid w:val="621A3C03"/>
    <w:rsid w:val="62914F44"/>
    <w:rsid w:val="63177732"/>
    <w:rsid w:val="63707001"/>
    <w:rsid w:val="63B93D90"/>
    <w:rsid w:val="63BB5001"/>
    <w:rsid w:val="64193B7F"/>
    <w:rsid w:val="64692059"/>
    <w:rsid w:val="64AC0ECC"/>
    <w:rsid w:val="64AE0159"/>
    <w:rsid w:val="65C0544E"/>
    <w:rsid w:val="668E484C"/>
    <w:rsid w:val="66CF6F74"/>
    <w:rsid w:val="66F40227"/>
    <w:rsid w:val="67503BED"/>
    <w:rsid w:val="67592BEE"/>
    <w:rsid w:val="67A95DA2"/>
    <w:rsid w:val="67B1323D"/>
    <w:rsid w:val="67E54C0A"/>
    <w:rsid w:val="682450AE"/>
    <w:rsid w:val="682D70D2"/>
    <w:rsid w:val="68303159"/>
    <w:rsid w:val="683C299A"/>
    <w:rsid w:val="684B205B"/>
    <w:rsid w:val="68890038"/>
    <w:rsid w:val="68DC28FB"/>
    <w:rsid w:val="692F119E"/>
    <w:rsid w:val="698F7F8A"/>
    <w:rsid w:val="6AB2493A"/>
    <w:rsid w:val="6AC668BC"/>
    <w:rsid w:val="6B3731BD"/>
    <w:rsid w:val="6C8E65DE"/>
    <w:rsid w:val="6C93143D"/>
    <w:rsid w:val="6CE52605"/>
    <w:rsid w:val="6D290EFC"/>
    <w:rsid w:val="6DCB3FCA"/>
    <w:rsid w:val="6DF6008E"/>
    <w:rsid w:val="700106EC"/>
    <w:rsid w:val="701A26C0"/>
    <w:rsid w:val="705C66E7"/>
    <w:rsid w:val="70803FF9"/>
    <w:rsid w:val="70B54539"/>
    <w:rsid w:val="70E30397"/>
    <w:rsid w:val="71400C55"/>
    <w:rsid w:val="71A77A8A"/>
    <w:rsid w:val="72073F09"/>
    <w:rsid w:val="723D5A2C"/>
    <w:rsid w:val="724E0799"/>
    <w:rsid w:val="725153DC"/>
    <w:rsid w:val="73520BE7"/>
    <w:rsid w:val="736B1069"/>
    <w:rsid w:val="737843DC"/>
    <w:rsid w:val="741608B8"/>
    <w:rsid w:val="74362641"/>
    <w:rsid w:val="748D3BF4"/>
    <w:rsid w:val="74B27928"/>
    <w:rsid w:val="7500196D"/>
    <w:rsid w:val="751B4E62"/>
    <w:rsid w:val="75562425"/>
    <w:rsid w:val="7573289A"/>
    <w:rsid w:val="75976B61"/>
    <w:rsid w:val="75D35C0E"/>
    <w:rsid w:val="75E87809"/>
    <w:rsid w:val="76191AD3"/>
    <w:rsid w:val="764D0BF3"/>
    <w:rsid w:val="766E5512"/>
    <w:rsid w:val="7690600D"/>
    <w:rsid w:val="76AE7A96"/>
    <w:rsid w:val="76C350C5"/>
    <w:rsid w:val="77660093"/>
    <w:rsid w:val="7832264B"/>
    <w:rsid w:val="7892034B"/>
    <w:rsid w:val="79006D8A"/>
    <w:rsid w:val="7900734D"/>
    <w:rsid w:val="7928079D"/>
    <w:rsid w:val="79841816"/>
    <w:rsid w:val="799B1FF4"/>
    <w:rsid w:val="79CC4A46"/>
    <w:rsid w:val="79D34670"/>
    <w:rsid w:val="7A0E3415"/>
    <w:rsid w:val="7A67433A"/>
    <w:rsid w:val="7B1E2C9C"/>
    <w:rsid w:val="7C6E1DBB"/>
    <w:rsid w:val="7CAE5778"/>
    <w:rsid w:val="7CB846C4"/>
    <w:rsid w:val="7D0C3069"/>
    <w:rsid w:val="7D1328B5"/>
    <w:rsid w:val="7D5658E3"/>
    <w:rsid w:val="7DE24A36"/>
    <w:rsid w:val="7E6F1EF9"/>
    <w:rsid w:val="7E997BAD"/>
    <w:rsid w:val="7EE90361"/>
    <w:rsid w:val="7F745C8E"/>
    <w:rsid w:val="7FD404B0"/>
    <w:rsid w:val="F323C9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5"/>
    <w:qFormat/>
    <w:uiPriority w:val="99"/>
    <w:pPr>
      <w:keepNext/>
      <w:keepLines/>
      <w:spacing w:before="260" w:after="260" w:line="412" w:lineRule="auto"/>
      <w:outlineLvl w:val="1"/>
    </w:pPr>
    <w:rPr>
      <w:rFonts w:ascii="Arial" w:hAnsi="Arial" w:eastAsia="黑体"/>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next w:val="1"/>
    <w:qFormat/>
    <w:uiPriority w:val="0"/>
    <w:pPr>
      <w:ind w:firstLine="420" w:firstLineChars="200"/>
    </w:pPr>
  </w:style>
  <w:style w:type="paragraph" w:customStyle="1" w:styleId="3">
    <w:name w:val="BodyTextIndent"/>
    <w:basedOn w:val="1"/>
    <w:qFormat/>
    <w:uiPriority w:val="0"/>
    <w:pPr>
      <w:ind w:left="420" w:leftChars="200"/>
    </w:pPr>
  </w:style>
  <w:style w:type="paragraph" w:styleId="5">
    <w:name w:val="Normal Indent"/>
    <w:basedOn w:val="1"/>
    <w:unhideWhenUsed/>
    <w:qFormat/>
    <w:uiPriority w:val="99"/>
    <w:pPr>
      <w:ind w:firstLine="420" w:firstLineChars="200"/>
    </w:pPr>
  </w:style>
  <w:style w:type="paragraph" w:styleId="6">
    <w:name w:val="Document Map"/>
    <w:basedOn w:val="1"/>
    <w:link w:val="29"/>
    <w:semiHidden/>
    <w:unhideWhenUsed/>
    <w:qFormat/>
    <w:uiPriority w:val="99"/>
    <w:rPr>
      <w:rFonts w:ascii="宋体" w:eastAsia="宋体"/>
      <w:sz w:val="18"/>
      <w:szCs w:val="18"/>
    </w:rPr>
  </w:style>
  <w:style w:type="paragraph" w:styleId="7">
    <w:name w:val="Body Text"/>
    <w:basedOn w:val="1"/>
    <w:link w:val="21"/>
    <w:qFormat/>
    <w:uiPriority w:val="99"/>
    <w:pPr>
      <w:spacing w:after="120"/>
    </w:pPr>
    <w:rPr>
      <w:szCs w:val="24"/>
    </w:rPr>
  </w:style>
  <w:style w:type="paragraph" w:styleId="8">
    <w:name w:val="toc 3"/>
    <w:basedOn w:val="1"/>
    <w:next w:val="1"/>
    <w:semiHidden/>
    <w:unhideWhenUsed/>
    <w:qFormat/>
    <w:uiPriority w:val="39"/>
    <w:pPr>
      <w:ind w:left="840" w:leftChars="400"/>
    </w:pPr>
  </w:style>
  <w:style w:type="paragraph" w:styleId="9">
    <w:name w:val="Balloon Text"/>
    <w:basedOn w:val="1"/>
    <w:link w:val="28"/>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rPr>
      <w:rFonts w:eastAsia="黑体"/>
      <w:sz w:val="28"/>
    </w:rPr>
  </w:style>
  <w:style w:type="paragraph" w:styleId="13">
    <w:name w:val="table of figures"/>
    <w:basedOn w:val="1"/>
    <w:next w:val="1"/>
    <w:unhideWhenUsed/>
    <w:qFormat/>
    <w:uiPriority w:val="99"/>
    <w:pPr>
      <w:ind w:left="200" w:leftChars="200" w:hanging="200" w:hangingChars="200"/>
    </w:pPr>
    <w:rPr>
      <w:rFonts w:hint="eastAsia"/>
    </w:rPr>
  </w:style>
  <w:style w:type="paragraph" w:styleId="14">
    <w:name w:val="toc 2"/>
    <w:basedOn w:val="1"/>
    <w:next w:val="1"/>
    <w:unhideWhenUsed/>
    <w:qFormat/>
    <w:uiPriority w:val="39"/>
    <w:pPr>
      <w:ind w:left="420" w:leftChars="200"/>
    </w:pPr>
    <w:rPr>
      <w:rFonts w:eastAsia="黑体"/>
      <w:sz w:val="24"/>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7">
    <w:name w:val="Table Grid"/>
    <w:basedOn w:val="16"/>
    <w:unhideWhenUsed/>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22"/>
    <w:rPr>
      <w:b/>
    </w:rPr>
  </w:style>
  <w:style w:type="character" w:styleId="20">
    <w:name w:val="Hyperlink"/>
    <w:basedOn w:val="18"/>
    <w:unhideWhenUsed/>
    <w:qFormat/>
    <w:uiPriority w:val="99"/>
    <w:rPr>
      <w:color w:val="0000FF" w:themeColor="hyperlink"/>
      <w:u w:val="single"/>
      <w14:textFill>
        <w14:solidFill>
          <w14:schemeClr w14:val="hlink"/>
        </w14:solidFill>
      </w14:textFill>
    </w:rPr>
  </w:style>
  <w:style w:type="character" w:customStyle="1" w:styleId="21">
    <w:name w:val="正文文本 Char"/>
    <w:basedOn w:val="18"/>
    <w:link w:val="7"/>
    <w:qFormat/>
    <w:uiPriority w:val="99"/>
    <w:rPr>
      <w:szCs w:val="24"/>
    </w:rPr>
  </w:style>
  <w:style w:type="paragraph" w:customStyle="1" w:styleId="22">
    <w:name w:val="列出段落11"/>
    <w:basedOn w:val="1"/>
    <w:link w:val="26"/>
    <w:qFormat/>
    <w:uiPriority w:val="0"/>
    <w:pPr>
      <w:ind w:firstLine="420" w:firstLineChars="200"/>
    </w:pPr>
    <w:rPr>
      <w:rFonts w:ascii="Calibri" w:hAnsi="Calibri" w:eastAsia="仿宋_GB2312" w:cs="Times New Roman"/>
      <w:sz w:val="32"/>
    </w:rPr>
  </w:style>
  <w:style w:type="character" w:customStyle="1" w:styleId="23">
    <w:name w:val="页眉 Char"/>
    <w:basedOn w:val="18"/>
    <w:link w:val="11"/>
    <w:qFormat/>
    <w:uiPriority w:val="99"/>
    <w:rPr>
      <w:sz w:val="18"/>
      <w:szCs w:val="18"/>
    </w:rPr>
  </w:style>
  <w:style w:type="character" w:customStyle="1" w:styleId="24">
    <w:name w:val="页脚 Char"/>
    <w:basedOn w:val="18"/>
    <w:link w:val="10"/>
    <w:qFormat/>
    <w:uiPriority w:val="99"/>
    <w:rPr>
      <w:sz w:val="18"/>
      <w:szCs w:val="18"/>
    </w:rPr>
  </w:style>
  <w:style w:type="paragraph" w:styleId="25">
    <w:name w:val="List Paragraph"/>
    <w:basedOn w:val="1"/>
    <w:qFormat/>
    <w:uiPriority w:val="99"/>
    <w:pPr>
      <w:ind w:firstLine="420" w:firstLineChars="200"/>
    </w:pPr>
  </w:style>
  <w:style w:type="character" w:customStyle="1" w:styleId="26">
    <w:name w:val="列出段落11 字符"/>
    <w:basedOn w:val="18"/>
    <w:link w:val="22"/>
    <w:qFormat/>
    <w:uiPriority w:val="0"/>
    <w:rPr>
      <w:rFonts w:ascii="Calibri" w:hAnsi="Calibri" w:eastAsia="仿宋_GB2312" w:cs="Times New Roman"/>
      <w:sz w:val="32"/>
    </w:rPr>
  </w:style>
  <w:style w:type="paragraph" w:customStyle="1" w:styleId="27">
    <w:name w:val="列出段落1"/>
    <w:basedOn w:val="1"/>
    <w:qFormat/>
    <w:uiPriority w:val="0"/>
    <w:pPr>
      <w:ind w:firstLine="420" w:firstLineChars="200"/>
    </w:pPr>
    <w:rPr>
      <w:rFonts w:ascii="Calibri" w:hAnsi="Calibri" w:eastAsia="宋体" w:cs="Calibri"/>
      <w:szCs w:val="21"/>
    </w:rPr>
  </w:style>
  <w:style w:type="character" w:customStyle="1" w:styleId="28">
    <w:name w:val="批注框文本 Char"/>
    <w:basedOn w:val="18"/>
    <w:link w:val="9"/>
    <w:semiHidden/>
    <w:qFormat/>
    <w:uiPriority w:val="99"/>
    <w:rPr>
      <w:sz w:val="18"/>
      <w:szCs w:val="18"/>
    </w:rPr>
  </w:style>
  <w:style w:type="character" w:customStyle="1" w:styleId="29">
    <w:name w:val="文档结构图 Char"/>
    <w:basedOn w:val="18"/>
    <w:link w:val="6"/>
    <w:semiHidden/>
    <w:qFormat/>
    <w:uiPriority w:val="99"/>
    <w:rPr>
      <w:rFonts w:ascii="宋体" w:eastAsia="宋体"/>
      <w:kern w:val="2"/>
      <w:sz w:val="18"/>
      <w:szCs w:val="18"/>
    </w:rPr>
  </w:style>
  <w:style w:type="paragraph" w:customStyle="1" w:styleId="30">
    <w:name w:val="WPSOffice手动目录 1"/>
    <w:qFormat/>
    <w:uiPriority w:val="0"/>
    <w:rPr>
      <w:rFonts w:ascii="Calibri" w:hAnsi="Calibri" w:eastAsia="微软雅黑" w:cs="Times New Roman"/>
      <w:lang w:val="en-US" w:eastAsia="zh-CN" w:bidi="ar-SA"/>
    </w:rPr>
  </w:style>
  <w:style w:type="paragraph" w:customStyle="1" w:styleId="31">
    <w:name w:val="WPSOffice手动目录 2"/>
    <w:qFormat/>
    <w:uiPriority w:val="0"/>
    <w:pPr>
      <w:ind w:left="200" w:leftChars="200"/>
    </w:pPr>
    <w:rPr>
      <w:rFonts w:ascii="Calibri" w:hAnsi="Calibri" w:eastAsia="微软雅黑" w:cs="Times New Roman"/>
      <w:lang w:val="en-US" w:eastAsia="zh-CN" w:bidi="ar-SA"/>
    </w:rPr>
  </w:style>
  <w:style w:type="paragraph" w:customStyle="1" w:styleId="32">
    <w:name w:val="WPSOffice手动目录 3"/>
    <w:qFormat/>
    <w:uiPriority w:val="0"/>
    <w:pPr>
      <w:ind w:left="400" w:leftChars="400"/>
    </w:pPr>
    <w:rPr>
      <w:rFonts w:ascii="Calibri" w:hAnsi="Calibri" w:eastAsia="微软雅黑"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Pages>
  <Words>8472</Words>
  <Characters>48295</Characters>
  <Lines>402</Lines>
  <Paragraphs>113</Paragraphs>
  <TotalTime>31</TotalTime>
  <ScaleCrop>false</ScaleCrop>
  <LinksUpToDate>false</LinksUpToDate>
  <CharactersWithSpaces>56654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2020-12-28T14:42:00Z</dcterms:created>
  <dc:creator>Windows User</dc:creator>
  <cp:lastModifiedBy>user</cp:lastModifiedBy>
  <cp:lastPrinted>2020-12-22T10:00:00Z</cp:lastPrinted>
  <dcterms:modified xsi:type="dcterms:W3CDTF">2023-11-30T10:41:49Z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257451160_btnclosed</vt:lpwstr>
  </property>
  <property fmtid="{D5CDD505-2E9C-101B-9397-08002B2CF9AE}" pid="4" name="ICV">
    <vt:lpwstr>165B4D4202C34966A9E6BE4D17E9A468</vt:lpwstr>
  </property>
</Properties>
</file>