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40" w:lineRule="exact"/>
        <w:ind w:left="210" w:leftChars="100" w:right="210" w:rightChars="10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>
      <w:pPr>
        <w:spacing w:line="1300" w:lineRule="exact"/>
        <w:jc w:val="distribute"/>
        <w:rPr>
          <w:rFonts w:hint="eastAsia" w:ascii="Times New Roman" w:hAnsi="Times New Roman" w:eastAsia="方正小标宋简体"/>
          <w:color w:val="FF0000"/>
          <w:spacing w:val="-20"/>
          <w:w w:val="42"/>
          <w:sz w:val="120"/>
          <w:szCs w:val="120"/>
          <w:lang w:eastAsia="zh-CN"/>
        </w:rPr>
      </w:pPr>
      <w:r>
        <w:rPr>
          <w:rFonts w:hint="default" w:ascii="Times New Roman" w:hAnsi="Times New Roman" w:eastAsia="方正小标宋简体" w:cs="方正小标宋简体"/>
          <w:color w:val="FF0000"/>
          <w:spacing w:val="-20"/>
          <w:w w:val="42"/>
          <w:sz w:val="120"/>
          <w:szCs w:val="120"/>
        </w:rPr>
        <w:t>宝兴县</w:t>
      </w:r>
      <w:r>
        <w:rPr>
          <w:rFonts w:hint="eastAsia" w:ascii="Times New Roman" w:hAnsi="Times New Roman" w:eastAsia="方正小标宋简体" w:cs="方正小标宋简体"/>
          <w:color w:val="FF0000"/>
          <w:spacing w:val="-20"/>
          <w:w w:val="42"/>
          <w:sz w:val="120"/>
          <w:szCs w:val="120"/>
        </w:rPr>
        <w:t>优化营商环境工作领导小组</w:t>
      </w:r>
      <w:r>
        <w:rPr>
          <w:rFonts w:hint="eastAsia" w:ascii="Times New Roman" w:hAnsi="Times New Roman" w:eastAsia="方正小标宋简体" w:cs="方正小标宋简体"/>
          <w:color w:val="FF0000"/>
          <w:spacing w:val="-20"/>
          <w:w w:val="42"/>
          <w:sz w:val="120"/>
          <w:szCs w:val="120"/>
          <w:lang w:eastAsia="zh-CN"/>
        </w:rPr>
        <w:t>办公室</w:t>
      </w:r>
    </w:p>
    <w:p>
      <w:pPr>
        <w:spacing w:line="604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spacing w:line="604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spacing w:line="604" w:lineRule="exact"/>
        <w:jc w:val="center"/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spacing w:val="8"/>
          <w:sz w:val="32"/>
          <w:szCs w:val="32"/>
        </w:rPr>
        <w:t>宝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</w:rPr>
        <w:t>营商组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</w:rPr>
        <w:t>〔2022〕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</w:rPr>
        <w:t>号</w:t>
      </w:r>
    </w:p>
    <w:p>
      <w:pPr>
        <w:spacing w:line="640" w:lineRule="exact"/>
        <w:ind w:firstLine="420" w:firstLineChars="200"/>
        <w:rPr>
          <w:rFonts w:ascii="Times New Roman" w:hAnsi="Times New Roman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39370</wp:posOffset>
                </wp:positionV>
                <wp:extent cx="5615940" cy="0"/>
                <wp:effectExtent l="0" t="12700" r="3810" b="1587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top:3.1pt;height:0pt;width:442.2pt;mso-position-horizontal:center;z-index:251661312;mso-width-relative:page;mso-height-relative:page;" filled="f" stroked="t" coordsize="21600,21600" o:gfxdata="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Ib06l9MAAAAE&#10;AQAADwAAAAAAAAABACAAAAA4AAAAZHJzL2Rvd25yZXYueG1sUEsBAhQAFAAAAAgAh07iQI/eRkbS&#10;AQAAkQMAAA4AAAAAAAAAAQAgAAAAOAEAAGRycy9lMm9Eb2MueG1sUEsFBgAAAAAGAAYAWQEAAHwF&#10;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74" w:firstLineChars="200"/>
        <w:textAlignment w:val="auto"/>
        <w:rPr>
          <w:rFonts w:ascii="Times New Roman" w:hAnsi="Times New Roman" w:eastAsia="方正仿宋简体"/>
          <w:b/>
          <w:bCs/>
          <w:snapToGrid w:val="0"/>
          <w:color w:val="000000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4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pacing w:val="8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方正小标宋简体"/>
          <w:color w:val="000000"/>
          <w:spacing w:val="8"/>
          <w:sz w:val="44"/>
          <w:szCs w:val="44"/>
        </w:rPr>
        <w:t>宝兴县</w:t>
      </w:r>
      <w:r>
        <w:rPr>
          <w:rFonts w:hint="eastAsia" w:ascii="Times New Roman" w:hAnsi="Times New Roman" w:eastAsia="方正小标宋简体" w:cs="方正小标宋简体"/>
          <w:color w:val="000000"/>
          <w:spacing w:val="8"/>
          <w:sz w:val="44"/>
          <w:szCs w:val="44"/>
        </w:rPr>
        <w:t>优化营商环境工作领导小组</w:t>
      </w:r>
      <w:r>
        <w:rPr>
          <w:rFonts w:hint="eastAsia" w:ascii="Times New Roman" w:hAnsi="Times New Roman" w:eastAsia="方正小标宋简体" w:cs="方正小标宋简体"/>
          <w:color w:val="000000"/>
          <w:spacing w:val="8"/>
          <w:sz w:val="44"/>
          <w:szCs w:val="44"/>
          <w:lang w:eastAsia="zh-CN"/>
        </w:rPr>
        <w:t>办公室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eastAsia="zh-CN"/>
        </w:rPr>
        <w:t>宝兴县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优化营商环境“20+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”条措施责任分工方案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通知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各乡（镇）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级有关部门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（单位）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：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推动《宝兴县优化营商环境“20+6”条措施</w:t>
      </w:r>
      <w:r>
        <w:rPr>
          <w:rFonts w:hint="eastAsia" w:ascii="仿宋_GB2312" w:hAnsi="黑体" w:cs="宋体"/>
          <w:color w:val="auto"/>
          <w:kern w:val="0"/>
          <w:sz w:val="32"/>
          <w:szCs w:val="32"/>
          <w:u w:val="none"/>
          <w:lang w:eastAsia="zh-CN"/>
        </w:rPr>
        <w:t>》落地落实，聚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力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u w:val="none"/>
          <w:lang w:eastAsia="zh-CN"/>
        </w:rPr>
        <w:t>打造</w:t>
      </w:r>
      <w:r>
        <w:rPr>
          <w:rFonts w:hint="eastAsia" w:ascii="仿宋_GB2312" w:hAnsi="仿宋_GB2312" w:cs="仿宋_GB2312"/>
          <w:bCs/>
          <w:kern w:val="0"/>
          <w:szCs w:val="32"/>
          <w:lang w:eastAsia="zh-CN" w:bidi="ar"/>
        </w:rPr>
        <w:t>一流政务、一流法治、一流市场、一流人文的</w:t>
      </w:r>
      <w:r>
        <w:rPr>
          <w:rFonts w:hint="eastAsia" w:ascii="仿宋_GB2312" w:hAnsi="仿宋_GB2312" w:cs="仿宋_GB2312"/>
          <w:bCs/>
          <w:kern w:val="0"/>
          <w:szCs w:val="32"/>
          <w:lang w:bidi="ar"/>
        </w:rPr>
        <w:t>“四个一流”的营商环境，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bidi="ar"/>
        </w:rPr>
        <w:t>结合实际，制定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 w:bidi="ar"/>
        </w:rPr>
        <w:t>此分工方案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bidi="ar"/>
        </w:rPr>
        <w:t>。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rPr>
          <w:rFonts w:ascii="黑体" w:hAnsi="黑体" w:eastAsia="黑体"/>
          <w:bCs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szCs w:val="32"/>
          <w:shd w:val="clear" w:color="auto" w:fill="FFFFFF"/>
        </w:rPr>
        <w:t>一、优化营商环境20条提升措施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bCs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1.实行“拿</w:t>
      </w:r>
      <w:r>
        <w:rPr>
          <w:rFonts w:hint="eastAsia" w:ascii="楷体_GB2312" w:hAnsi="楷体_GB2312" w:eastAsia="楷体_GB2312" w:cs="楷体_GB2312"/>
          <w:bCs/>
          <w:snapToGrid w:val="0"/>
          <w:szCs w:val="32"/>
          <w:lang w:eastAsia="zh-CN"/>
        </w:rPr>
        <w:t>地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即开工”改革。</w:t>
      </w:r>
      <w:r>
        <w:rPr>
          <w:rFonts w:hint="eastAsia" w:ascii="仿宋_GB2312" w:hAnsi="仿宋_GB2312" w:cs="仿宋_GB2312"/>
          <w:bCs/>
          <w:color w:val="000000"/>
          <w:kern w:val="0"/>
          <w:szCs w:val="32"/>
        </w:rPr>
        <w:t>建立“承诺预审+并联审批+容缺受理”机制，经项目单位承诺，实行审批服务事项技术性审查阶段与取得土地阶段同步推进，提前介入项目审查并出具预审批意见，拿地前完成预审和公</w:t>
      </w:r>
      <w:r>
        <w:rPr>
          <w:rFonts w:hint="eastAsia" w:ascii="仿宋_GB2312" w:hAnsi="仿宋_GB2312" w:cs="仿宋_GB2312"/>
          <w:bCs/>
          <w:color w:val="auto"/>
          <w:kern w:val="0"/>
          <w:szCs w:val="32"/>
        </w:rPr>
        <w:t>示，变拿地等待期为高效审批服务期，</w:t>
      </w:r>
      <w:r>
        <w:rPr>
          <w:rFonts w:hint="eastAsia" w:ascii="仿宋_GB2312"/>
          <w:bCs/>
          <w:snapToGrid w:val="0"/>
          <w:color w:val="auto"/>
          <w:szCs w:val="32"/>
        </w:rPr>
        <w:t>土地成交即发放建设用地规划许可证、建设工程规划许可证，</w:t>
      </w:r>
      <w:r>
        <w:rPr>
          <w:rFonts w:hint="eastAsia" w:ascii="仿宋_GB2312"/>
          <w:bCs/>
          <w:snapToGrid w:val="0"/>
          <w:color w:val="auto"/>
          <w:szCs w:val="32"/>
          <w:lang w:eastAsia="zh-CN"/>
        </w:rPr>
        <w:t>分阶段办理建筑工程施工许可证，</w:t>
      </w:r>
      <w:r>
        <w:rPr>
          <w:rFonts w:hint="eastAsia" w:ascii="仿宋_GB2312" w:hAnsi="仿宋_GB2312" w:cs="仿宋_GB2312"/>
          <w:bCs/>
          <w:color w:val="auto"/>
          <w:kern w:val="0"/>
          <w:szCs w:val="32"/>
        </w:rPr>
        <w:t>加速项目落地建设</w:t>
      </w:r>
      <w:r>
        <w:rPr>
          <w:rFonts w:hint="eastAsia" w:ascii="仿宋_GB2312"/>
          <w:bCs/>
          <w:snapToGrid w:val="0"/>
          <w:color w:val="auto"/>
          <w:szCs w:val="32"/>
        </w:rPr>
        <w:t>。</w:t>
      </w:r>
      <w:r>
        <w:rPr>
          <w:rFonts w:hint="eastAsia" w:ascii="仿宋_GB2312" w:hAnsi="仿宋_GB2312" w:cs="仿宋_GB2312"/>
          <w:bCs/>
          <w:color w:val="auto"/>
          <w:kern w:val="0"/>
          <w:szCs w:val="32"/>
        </w:rPr>
        <w:t>新增建设用地的一般建设工程项目拿地开工和竣</w:t>
      </w:r>
      <w:r>
        <w:rPr>
          <w:rFonts w:hint="eastAsia" w:ascii="仿宋_GB2312" w:hAnsi="仿宋_GB2312" w:cs="仿宋_GB2312"/>
          <w:bCs/>
          <w:color w:val="000000"/>
          <w:kern w:val="0"/>
          <w:szCs w:val="32"/>
        </w:rPr>
        <w:t>工验收审批时间</w:t>
      </w:r>
      <w:r>
        <w:rPr>
          <w:rFonts w:hint="eastAsia" w:ascii="仿宋_GB2312" w:hAnsi="仿宋_GB2312" w:cs="仿宋_GB2312"/>
          <w:bCs/>
          <w:color w:val="000000"/>
          <w:szCs w:val="32"/>
          <w:shd w:val="clear" w:color="auto" w:fill="FFFFFF"/>
        </w:rPr>
        <w:t>控制在</w:t>
      </w:r>
      <w:r>
        <w:rPr>
          <w:rFonts w:hint="eastAsia" w:ascii="仿宋_GB2312" w:hAnsi="仿宋_GB2312" w:cs="仿宋_GB2312"/>
          <w:bCs/>
          <w:color w:val="000000"/>
          <w:kern w:val="0"/>
          <w:szCs w:val="32"/>
        </w:rPr>
        <w:t>25个工作日内。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bCs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bCs/>
          <w:snapToGrid w:val="0"/>
          <w:szCs w:val="32"/>
          <w:lang w:eastAsia="zh-CN"/>
        </w:rPr>
        <w:t>牵头单位：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自然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资源和规划局、县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住房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城乡建设局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2.加快工业用地“标准地”出让。</w:t>
      </w:r>
      <w:r>
        <w:rPr>
          <w:rFonts w:hint="eastAsia" w:ascii="仿宋_GB2312" w:hAnsi="仿宋_GB2312" w:cs="仿宋_GB2312"/>
          <w:bCs/>
          <w:color w:val="000000"/>
          <w:kern w:val="0"/>
          <w:szCs w:val="32"/>
        </w:rPr>
        <w:t>建立工业用地“标准地”出让制度体系，通过开展联评联审、提前审查、提前定标、事后跟踪监管等措施，降低企业用地成本，推动工业项目尽快开工建设。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bCs/>
          <w:snapToGrid w:val="0"/>
          <w:szCs w:val="32"/>
          <w:lang w:eastAsia="zh-CN"/>
        </w:rPr>
        <w:t>牵头单位：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自然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资源和规划局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snapToGrid w:val="0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3.实现区域评估成果共享。</w:t>
      </w:r>
      <w:r>
        <w:rPr>
          <w:rFonts w:hint="eastAsia" w:ascii="仿宋_GB2312" w:hAnsi="仿宋_GB2312" w:cs="仿宋_GB2312"/>
          <w:bCs/>
          <w:color w:val="000000"/>
          <w:kern w:val="0"/>
          <w:szCs w:val="32"/>
        </w:rPr>
        <w:t>由</w:t>
      </w:r>
      <w:r>
        <w:rPr>
          <w:rFonts w:hint="eastAsia" w:ascii="仿宋_GB2312" w:hAnsi="仿宋_GB2312" w:cs="仿宋_GB2312"/>
          <w:bCs/>
          <w:snapToGrid w:val="0"/>
          <w:szCs w:val="32"/>
        </w:rPr>
        <w:t>属地政府统一组织对一定区域内土地勘测、矿产压覆、地质灾害、水土保持、文物保护、地震安全性、气候可行性、环境影响评价等事项，实行区域评估，成果共享应用。审批部门不再对区域内符合条件的市场主体单独提出评估要求，进一步缩减审批时间、环节和费用。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snapToGrid w:val="0"/>
          <w:szCs w:val="32"/>
        </w:rPr>
      </w:pPr>
      <w:r>
        <w:rPr>
          <w:rFonts w:hint="eastAsia" w:ascii="楷体_GB2312" w:hAnsi="楷体_GB2312" w:eastAsia="楷体_GB2312" w:cs="楷体_GB2312"/>
          <w:bCs/>
          <w:snapToGrid w:val="0"/>
          <w:szCs w:val="32"/>
          <w:lang w:eastAsia="zh-CN"/>
        </w:rPr>
        <w:t>牵头单位：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自然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资源和规划局、县行政审批局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4.加强重点项目代办服务</w:t>
      </w:r>
      <w:r>
        <w:rPr>
          <w:rFonts w:hint="eastAsia" w:ascii="楷体_GB2312" w:hAnsi="楷体_GB2312" w:eastAsia="楷体_GB2312" w:cs="楷体_GB2312"/>
          <w:bCs/>
          <w:color w:val="000000"/>
          <w:kern w:val="0"/>
          <w:szCs w:val="32"/>
        </w:rPr>
        <w:t>。</w:t>
      </w:r>
      <w:r>
        <w:rPr>
          <w:rFonts w:hint="eastAsia" w:ascii="仿宋_GB2312" w:hAnsi="仿宋_GB2312" w:cs="仿宋_GB2312"/>
          <w:bCs/>
          <w:color w:val="000000"/>
          <w:kern w:val="0"/>
          <w:szCs w:val="32"/>
        </w:rPr>
        <w:t>依托代办服务体系，健全重点项目代办帮办服务机制，完善服务事项和工作流程，组建专业综合服务团队，开展全程“</w:t>
      </w:r>
      <w:r>
        <w:rPr>
          <w:rFonts w:hint="eastAsia" w:ascii="仿宋_GB2312" w:hAnsi="仿宋_GB2312" w:cs="仿宋_GB2312"/>
          <w:bCs/>
          <w:color w:val="000000"/>
          <w:kern w:val="0"/>
          <w:szCs w:val="32"/>
          <w:lang w:eastAsia="zh-CN"/>
        </w:rPr>
        <w:t>订单式</w:t>
      </w:r>
      <w:r>
        <w:rPr>
          <w:rFonts w:hint="eastAsia" w:ascii="仿宋_GB2312" w:hAnsi="仿宋_GB2312" w:cs="仿宋_GB2312"/>
          <w:bCs/>
          <w:color w:val="000000"/>
          <w:kern w:val="0"/>
          <w:szCs w:val="32"/>
        </w:rPr>
        <w:t>、保姆式”代办帮办服务。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bCs/>
          <w:snapToGrid w:val="0"/>
          <w:szCs w:val="32"/>
          <w:lang w:eastAsia="zh-CN"/>
        </w:rPr>
        <w:t>牵头单位：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县行政审批局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5.改进水电气报装服务。</w:t>
      </w:r>
      <w:r>
        <w:rPr>
          <w:rFonts w:hint="eastAsia" w:ascii="仿宋_GB2312" w:hAnsi="仿宋_GB2312" w:cs="仿宋_GB2312"/>
          <w:bCs/>
          <w:kern w:val="0"/>
          <w:szCs w:val="32"/>
        </w:rPr>
        <w:t>进一步压减水电气接入时间，简化审批程序，实现水、电、气、通信等公用服务进厅上网，推行水电气等市政公用服务综合报装。实现市政公用设施报装与建筑工程施工许可证核发同步申请、办理，市政公用设施接入与竣工验收同步完成。</w:t>
      </w:r>
      <w:r>
        <w:rPr>
          <w:rFonts w:hint="eastAsia" w:ascii="仿宋_GB2312" w:hAnsi="仿宋_GB2312" w:cs="仿宋_GB2312"/>
          <w:bCs/>
          <w:szCs w:val="32"/>
        </w:rPr>
        <w:t>实现居民用户和低压小微企业用户用电报装“零上门、零审批、零投资”服务和高压用户报装“省时、省力、省钱”服务。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szCs w:val="32"/>
        </w:rPr>
      </w:pPr>
      <w:r>
        <w:rPr>
          <w:rFonts w:hint="eastAsia" w:ascii="楷体_GB2312" w:hAnsi="楷体_GB2312" w:eastAsia="楷体_GB2312" w:cs="楷体_GB2312"/>
          <w:bCs/>
          <w:snapToGrid w:val="0"/>
          <w:szCs w:val="32"/>
          <w:lang w:eastAsia="zh-CN"/>
        </w:rPr>
        <w:t>牵头单位：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县发展和改革局、县住房和城乡建设局、县行政审批局、县电力公司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color w:val="000000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6.优化不动产登记办理。</w:t>
      </w:r>
      <w:r>
        <w:rPr>
          <w:bCs/>
          <w:szCs w:val="32"/>
        </w:rPr>
        <w:t>实现</w:t>
      </w:r>
      <w:r>
        <w:rPr>
          <w:rFonts w:hint="eastAsia"/>
          <w:bCs/>
          <w:szCs w:val="32"/>
          <w:lang w:eastAsia="zh-CN"/>
        </w:rPr>
        <w:t>新建商品房</w:t>
      </w:r>
      <w:r>
        <w:rPr>
          <w:rFonts w:hint="eastAsia"/>
          <w:bCs/>
          <w:szCs w:val="32"/>
        </w:rPr>
        <w:t>“</w:t>
      </w:r>
      <w:r>
        <w:rPr>
          <w:bCs/>
          <w:szCs w:val="32"/>
        </w:rPr>
        <w:t>交房即交证</w:t>
      </w:r>
      <w:r>
        <w:rPr>
          <w:rFonts w:hint="eastAsia"/>
          <w:bCs/>
          <w:szCs w:val="32"/>
        </w:rPr>
        <w:t>”</w:t>
      </w:r>
      <w:r>
        <w:rPr>
          <w:bCs/>
          <w:szCs w:val="32"/>
        </w:rPr>
        <w:t>。将财产转</w:t>
      </w:r>
      <w:r>
        <w:rPr>
          <w:rFonts w:hint="eastAsia" w:ascii="仿宋_GB2312" w:hAnsi="仿宋_GB2312" w:cs="仿宋_GB2312"/>
          <w:bCs/>
          <w:szCs w:val="32"/>
        </w:rPr>
        <w:t>移登记压缩为“受理、发证”两个环节，对不动产权证照实行免费邮</w:t>
      </w:r>
      <w:r>
        <w:rPr>
          <w:bCs/>
          <w:szCs w:val="32"/>
        </w:rPr>
        <w:t>寄</w:t>
      </w:r>
      <w:r>
        <w:rPr>
          <w:rFonts w:hint="eastAsia" w:ascii="仿宋_GB2312" w:hAnsi="仿宋_GB2312" w:cs="仿宋_GB2312"/>
          <w:bCs/>
          <w:color w:val="000000"/>
          <w:szCs w:val="32"/>
        </w:rPr>
        <w:t>，</w:t>
      </w:r>
      <w:r>
        <w:rPr>
          <w:rFonts w:hint="eastAsia" w:ascii="仿宋_GB2312" w:hAnsi="仿宋_GB2312" w:cs="仿宋_GB2312"/>
          <w:bCs/>
          <w:color w:val="000000"/>
          <w:szCs w:val="32"/>
          <w:shd w:val="clear" w:color="auto" w:fill="FFFFFF"/>
        </w:rPr>
        <w:t>实现存量房交易不动产登记、税款征收“一窗受理”。推广“不动产转移登记+水电气一体化过记户”。将一般不动产登记业务压缩至2个工作日、抵押登记压缩至1个工作日。办理不动产非公证继承手续17个工作日内办结。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bCs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bCs/>
          <w:snapToGrid w:val="0"/>
          <w:szCs w:val="32"/>
          <w:lang w:eastAsia="zh-CN"/>
        </w:rPr>
        <w:t>牵头单位：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自然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资源和规划局、县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住房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城乡建设局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7.提升企业开办便利度。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企业开办全流程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个工作日内办结，企业开办实现零成本。将办理营业执照、公章刻制、申领发票和税控设备、社保登记、住房公积金企业缴存登记合并到一个开办环节，</w:t>
      </w:r>
      <w:r>
        <w:rPr>
          <w:rFonts w:hint="eastAsia" w:ascii="仿宋_GB2312" w:hAnsi="仿宋_GB2312" w:cs="仿宋_GB2312"/>
          <w:bCs/>
          <w:szCs w:val="32"/>
        </w:rPr>
        <w:t>推动企业开办所有环节“一件事”办理。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推行全流程网上办理，实现设立、变更、注销、补换照等各类业务全流程网上无纸化办理。扩大简易注销范围，简易注销公告时间由45天压缩到20天</w:t>
      </w:r>
      <w:r>
        <w:rPr>
          <w:rFonts w:hint="eastAsia" w:ascii="仿宋_GB2312" w:hAnsi="仿宋_GB2312" w:cs="仿宋_GB2312"/>
          <w:bCs/>
          <w:szCs w:val="32"/>
        </w:rPr>
        <w:t>。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bCs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bCs/>
          <w:snapToGrid w:val="0"/>
          <w:szCs w:val="32"/>
          <w:lang w:eastAsia="zh-CN"/>
        </w:rPr>
        <w:t>牵头单位：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县市场监督管理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局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8.优化提升纳税服务。</w:t>
      </w:r>
      <w:r>
        <w:rPr>
          <w:rFonts w:hint="eastAsia" w:ascii="仿宋_GB2312" w:hAnsi="仿宋_GB2312" w:cs="仿宋_GB2312"/>
          <w:bCs/>
          <w:szCs w:val="32"/>
        </w:rPr>
        <w:t>推进税（费）种综合申报，依法简并部分税种征期。除特殊、复杂事项外，全面实现税费申报、发票业务、税收优惠等税（费）事项“网上办理”“掌上办理”。继续实施增值税发票“网上申领（代开）+免费寄递”服务，大力推广应用电子发票，推动实现纳税人发票使用“零成本”。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szCs w:val="32"/>
        </w:rPr>
      </w:pPr>
      <w:r>
        <w:rPr>
          <w:rFonts w:hint="eastAsia" w:ascii="楷体_GB2312" w:hAnsi="楷体_GB2312" w:eastAsia="楷体_GB2312" w:cs="楷体_GB2312"/>
          <w:bCs/>
          <w:snapToGrid w:val="0"/>
          <w:szCs w:val="32"/>
          <w:lang w:eastAsia="zh-CN"/>
        </w:rPr>
        <w:t>牵头单位：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u w:val="none"/>
          <w:lang w:eastAsia="zh-CN"/>
        </w:rPr>
        <w:t>国家税务总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局宝兴分局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5"/>
        <w:textAlignment w:val="auto"/>
        <w:rPr>
          <w:rFonts w:hint="eastAsia" w:ascii="仿宋_GB2312" w:hAnsi="仿宋_GB2312" w:cs="仿宋_GB2312"/>
          <w:bCs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9.促进公共资源交易健康发展。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实现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u w:val="none"/>
          <w:lang w:eastAsia="zh-CN"/>
        </w:rPr>
        <w:t>招标投标全流程电子化，实现常态化电子辅助评标、远程异地评标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cs="仿宋_GB2312"/>
          <w:bCs/>
          <w:color w:val="auto"/>
          <w:szCs w:val="32"/>
          <w:u w:val="none"/>
        </w:rPr>
        <w:t>推行使</w:t>
      </w:r>
      <w:r>
        <w:rPr>
          <w:rFonts w:hint="eastAsia" w:ascii="仿宋_GB2312" w:hAnsi="仿宋_GB2312" w:cs="仿宋_GB2312"/>
          <w:bCs/>
          <w:szCs w:val="32"/>
        </w:rPr>
        <w:t>用保函、保险替代现金缴纳工程建设领域涉企保证金。提高中小企业政府采购份额。推动政府采购</w:t>
      </w:r>
      <w:r>
        <w:rPr>
          <w:rFonts w:ascii="仿宋_GB2312" w:hAnsi="仿宋_GB2312" w:cs="仿宋_GB2312"/>
          <w:bCs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9995535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35pt;margin-top:787.05pt;height:0pt;width:442.2pt;z-index:251659264;mso-width-relative:page;mso-height-relative:page;" filled="f" stroked="t" coordsize="21600,21600" o:gfxdata="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BSt7wG2AAAAA4BAAAPAAAAAAAA&#10;AAEAIAAAADgAAABkcnMvZG93bnJldi54bWxQSwECFAAUAAAACACHTuJA6eIywfwBAADUAwAADgAA&#10;AAAAAAABACAAAAA9AQAAZHJzL2Uyb0RvYy54bWxQSwUGAAAAAAYABgBZAQAAqwUAAAAA&#10;">
                <v:fill on="f" focussize="0,0"/>
                <v:stroke weight="0.5pt" color="#FFC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cs="仿宋_GB2312"/>
          <w:bCs/>
          <w:szCs w:val="32"/>
        </w:rPr>
        <w:t>全流程电子化交易，清理取消政府采购领域不合理限制，建立完善全流程在线监管制度机制。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5"/>
        <w:textAlignment w:val="auto"/>
        <w:rPr>
          <w:rFonts w:hint="eastAsia" w:ascii="仿宋_GB2312" w:hAnsi="仿宋_GB2312" w:cs="仿宋_GB2312"/>
          <w:bCs/>
          <w:szCs w:val="32"/>
        </w:rPr>
      </w:pPr>
      <w:r>
        <w:rPr>
          <w:rFonts w:hint="eastAsia" w:ascii="楷体_GB2312" w:hAnsi="楷体_GB2312" w:eastAsia="楷体_GB2312" w:cs="楷体_GB2312"/>
          <w:bCs/>
          <w:snapToGrid w:val="0"/>
          <w:szCs w:val="32"/>
          <w:lang w:eastAsia="zh-CN"/>
        </w:rPr>
        <w:t>牵头单位：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县发展和改革局、县财政局、县行政审批局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Cs/>
          <w:snapToGrid w:val="0"/>
          <w:szCs w:val="32"/>
        </w:rPr>
        <w:t>10.全面</w:t>
      </w:r>
      <w:r>
        <w:rPr>
          <w:rFonts w:hint="eastAsia" w:ascii="楷体_GB2312" w:hAnsi="楷体_GB2312" w:eastAsia="楷体_GB2312" w:cs="楷体_GB2312"/>
          <w:bCs/>
          <w:szCs w:val="32"/>
        </w:rPr>
        <w:t>提升政务服务效能。</w:t>
      </w:r>
      <w:r>
        <w:rPr>
          <w:rFonts w:hint="eastAsia" w:ascii="仿宋_GB2312" w:hAnsi="仿宋_GB2312" w:cs="仿宋_GB2312"/>
          <w:bCs/>
          <w:szCs w:val="32"/>
        </w:rPr>
        <w:t>打造“一件事一次办”升级版，提升集成服务水平。提高政务服务网办深度，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实现依申请政务服务事项的全程网上可办率达60%以上</w:t>
      </w:r>
      <w:r>
        <w:rPr>
          <w:rFonts w:hint="eastAsia" w:ascii="仿宋_GB2312" w:hAnsi="仿宋_GB2312" w:cs="仿宋_GB2312"/>
          <w:bCs/>
          <w:szCs w:val="32"/>
        </w:rPr>
        <w:t>。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聚焦就业、社会保障、卫生健康、户籍户政、车驾管、出入境、教育、住房、税费等领域，实现高频事项全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无差别受理、同标准办理、一站式办结。</w:t>
      </w:r>
      <w:r>
        <w:rPr>
          <w:rFonts w:hint="eastAsia" w:ascii="仿宋_GB2312" w:hAnsi="仿宋_GB2312" w:cs="仿宋_GB2312"/>
          <w:bCs/>
          <w:szCs w:val="32"/>
        </w:rPr>
        <w:t>推进告知承诺、容缺受理、帮代办、自助办理，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在更大范围实施政务服务“免证办”“零材料”。政府部门能够通过电子证照共享方式查询、核验企业办事所需信息的，不再要求提供实体证照或纸质材料，实现企业相关信息“最多报一次”。探索开展“个转企”便利化改革。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5"/>
        <w:textAlignment w:val="auto"/>
        <w:rPr>
          <w:rFonts w:hint="eastAsia" w:ascii="仿宋_GB2312" w:hAnsi="仿宋_GB2312" w:cs="仿宋_GB2312"/>
          <w:bCs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Cs/>
          <w:snapToGrid w:val="0"/>
          <w:szCs w:val="32"/>
          <w:lang w:eastAsia="zh-CN"/>
        </w:rPr>
        <w:t>牵头单位：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县行政审批局、县市场监督管理局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szCs w:val="32"/>
        </w:rPr>
      </w:pPr>
      <w:r>
        <w:rPr>
          <w:rFonts w:hint="eastAsia" w:ascii="楷体_GB2312" w:hAnsi="楷体_GB2312" w:eastAsia="楷体_GB2312" w:cs="楷体_GB2312"/>
          <w:bCs/>
          <w:snapToGrid w:val="0"/>
          <w:szCs w:val="32"/>
        </w:rPr>
        <w:t>11.推行政策“免申即享”。</w:t>
      </w:r>
      <w:r>
        <w:rPr>
          <w:rFonts w:hint="eastAsia" w:ascii="仿宋_GB2312" w:hAnsi="仿宋_GB2312" w:cs="仿宋_GB2312"/>
          <w:bCs/>
          <w:szCs w:val="32"/>
        </w:rPr>
        <w:t>搭建涉企政策综合服务平台，统一发布、动态调整优惠政策清单</w:t>
      </w:r>
      <w:r>
        <w:rPr>
          <w:rFonts w:hint="eastAsia" w:ascii="仿宋_GB2312" w:hAnsi="仿宋_GB2312" w:cs="仿宋_GB2312"/>
          <w:bCs/>
          <w:snapToGrid w:val="0"/>
          <w:szCs w:val="32"/>
        </w:rPr>
        <w:t>，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制定“免申即享”政策清单，</w:t>
      </w:r>
      <w:r>
        <w:rPr>
          <w:rFonts w:hint="eastAsia" w:ascii="仿宋_GB2312" w:hAnsi="仿宋_GB2312" w:cs="仿宋_GB2312"/>
          <w:bCs/>
          <w:snapToGrid w:val="0"/>
          <w:szCs w:val="32"/>
        </w:rPr>
        <w:t>符合条件的企业可免予申报、直接享受政策；对确需企业提出申请的惠企政策，</w:t>
      </w:r>
      <w:r>
        <w:rPr>
          <w:rFonts w:hint="eastAsia" w:ascii="仿宋_GB2312" w:hAnsi="仿宋_GB2312" w:cs="仿宋_GB2312"/>
          <w:bCs/>
          <w:szCs w:val="32"/>
        </w:rPr>
        <w:t>提供代办服务和</w:t>
      </w:r>
      <w:r>
        <w:rPr>
          <w:rFonts w:hint="eastAsia" w:ascii="仿宋_GB2312" w:hAnsi="仿宋_GB2312" w:cs="仿宋_GB2312"/>
          <w:bCs/>
          <w:snapToGrid w:val="0"/>
          <w:szCs w:val="32"/>
        </w:rPr>
        <w:t>容缺受理审批，</w:t>
      </w:r>
      <w:r>
        <w:rPr>
          <w:rFonts w:hint="eastAsia" w:ascii="仿宋_GB2312" w:hAnsi="仿宋_GB2312" w:cs="仿宋_GB2312"/>
          <w:bCs/>
          <w:szCs w:val="32"/>
        </w:rPr>
        <w:t>实现惠企政策兑现“一件事一次办”。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szCs w:val="32"/>
        </w:rPr>
      </w:pPr>
      <w:r>
        <w:rPr>
          <w:rFonts w:hint="eastAsia" w:ascii="楷体_GB2312" w:hAnsi="楷体_GB2312" w:eastAsia="楷体_GB2312" w:cs="楷体_GB2312"/>
          <w:bCs/>
          <w:snapToGrid w:val="0"/>
          <w:szCs w:val="32"/>
          <w:lang w:eastAsia="zh-CN"/>
        </w:rPr>
        <w:t>牵头单位：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县经济信息商务和科技局、县行政审批局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szCs w:val="32"/>
        </w:rPr>
      </w:pPr>
      <w:r>
        <w:rPr>
          <w:rFonts w:hint="eastAsia" w:ascii="楷体_GB2312" w:hAnsi="楷体_GB2312" w:eastAsia="楷体_GB2312" w:cs="楷体_GB2312"/>
          <w:bCs/>
          <w:szCs w:val="32"/>
        </w:rPr>
        <w:t>12.规范涉企监管检查。</w:t>
      </w:r>
      <w:r>
        <w:rPr>
          <w:rFonts w:hint="eastAsia" w:ascii="仿宋_GB2312" w:hAnsi="仿宋_GB2312" w:cs="仿宋_GB2312"/>
          <w:bCs/>
          <w:kern w:val="0"/>
          <w:szCs w:val="32"/>
        </w:rPr>
        <w:t>建立跨部门综合监管制度，</w:t>
      </w:r>
      <w:r>
        <w:rPr>
          <w:rFonts w:hint="eastAsia" w:ascii="仿宋_GB2312" w:hAnsi="仿宋_GB2312" w:cs="仿宋_GB2312"/>
          <w:bCs/>
          <w:szCs w:val="32"/>
        </w:rPr>
        <w:t>将有关联的多个监管事项整合为综合监管“一件事”，实施多部门一次检查、联动执法、联合惩戒。</w:t>
      </w:r>
      <w:r>
        <w:rPr>
          <w:rFonts w:hint="eastAsia" w:ascii="仿宋_GB2312" w:hAnsi="仿宋_GB2312" w:cs="仿宋_GB2312"/>
          <w:bCs/>
          <w:kern w:val="0"/>
          <w:szCs w:val="32"/>
          <w:lang w:bidi="ar"/>
        </w:rPr>
        <w:t>除中、省</w:t>
      </w:r>
      <w:r>
        <w:rPr>
          <w:rFonts w:hint="eastAsia" w:ascii="仿宋_GB2312" w:hAnsi="仿宋_GB2312" w:cs="仿宋_GB2312"/>
          <w:bCs/>
          <w:kern w:val="0"/>
          <w:szCs w:val="32"/>
          <w:lang w:eastAsia="zh-CN" w:bidi="ar"/>
        </w:rPr>
        <w:t>、市</w:t>
      </w:r>
      <w:r>
        <w:rPr>
          <w:rFonts w:hint="eastAsia" w:ascii="仿宋_GB2312" w:hAnsi="仿宋_GB2312" w:cs="仿宋_GB2312"/>
          <w:bCs/>
          <w:kern w:val="0"/>
          <w:szCs w:val="32"/>
          <w:lang w:bidi="ar"/>
        </w:rPr>
        <w:t>有明确规定外，相关部门不得对企业进行多头、重复督导、检查，确需开展的应当整合开展。</w:t>
      </w:r>
      <w:r>
        <w:rPr>
          <w:rFonts w:hint="eastAsia" w:ascii="仿宋_GB2312" w:hAnsi="仿宋_GB2312" w:cs="仿宋_GB2312"/>
          <w:bCs/>
          <w:szCs w:val="32"/>
        </w:rPr>
        <w:t>积极推行轻微行政违法行为依法免予处罚和告知承诺制，制定轻微违法经营行为依法免处罚免强制清单。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szCs w:val="32"/>
        </w:rPr>
      </w:pPr>
      <w:r>
        <w:rPr>
          <w:rFonts w:hint="eastAsia" w:ascii="楷体_GB2312" w:hAnsi="楷体_GB2312" w:eastAsia="楷体_GB2312" w:cs="楷体_GB2312"/>
          <w:bCs/>
          <w:snapToGrid w:val="0"/>
          <w:szCs w:val="32"/>
          <w:lang w:eastAsia="zh-CN"/>
        </w:rPr>
        <w:t>牵头单位：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县市场监督管理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局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5"/>
        <w:textAlignment w:val="auto"/>
        <w:rPr>
          <w:rFonts w:hint="eastAsia" w:ascii="仿宋_GB2312"/>
          <w:bCs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Cs w:val="32"/>
        </w:rPr>
        <w:t>13.优化诉讼服务体系。</w:t>
      </w:r>
      <w:r>
        <w:rPr>
          <w:rFonts w:hint="eastAsia" w:ascii="仿宋_GB2312" w:hAnsi="仿宋_GB2312" w:cs="仿宋_GB2312"/>
          <w:bCs/>
          <w:szCs w:val="32"/>
        </w:rPr>
        <w:t>完善“一站式”多元解纷和诉讼服</w:t>
      </w:r>
      <w:r>
        <w:rPr>
          <w:rFonts w:hint="eastAsia" w:ascii="仿宋_GB2312"/>
          <w:bCs/>
          <w:szCs w:val="32"/>
        </w:rPr>
        <w:t>务体系建设，设立中小投资者绿色窗口，成立金融调解工作室，建立诉讼速办服务通道，整合调解、速裁、电子送达等环节，同步提供诉讼指导、法律咨询、案件查询等司法服务，打造“一站式”诉讼服务。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5"/>
        <w:textAlignment w:val="auto"/>
        <w:rPr>
          <w:rFonts w:hint="eastAsia" w:ascii="仿宋_GB2312"/>
          <w:bCs/>
          <w:szCs w:val="32"/>
        </w:rPr>
      </w:pPr>
      <w:r>
        <w:rPr>
          <w:rFonts w:hint="eastAsia" w:ascii="楷体_GB2312" w:hAnsi="楷体_GB2312" w:eastAsia="楷体_GB2312" w:cs="楷体_GB2312"/>
          <w:bCs/>
          <w:snapToGrid w:val="0"/>
          <w:szCs w:val="32"/>
          <w:lang w:eastAsia="zh-CN"/>
        </w:rPr>
        <w:t>牵头单位：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县法院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5"/>
        <w:textAlignment w:val="auto"/>
        <w:rPr>
          <w:rFonts w:hint="eastAsia" w:ascii="仿宋_GB2312" w:hAnsi="仿宋_GB2312" w:cs="仿宋_GB2312"/>
          <w:bCs/>
          <w:kern w:val="0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Cs w:val="32"/>
        </w:rPr>
        <w:t>14.推动政府守信践诺。</w:t>
      </w:r>
      <w:r>
        <w:rPr>
          <w:rFonts w:hint="eastAsia" w:ascii="仿宋_GB2312" w:hAnsi="仿宋_GB2312" w:cs="仿宋_GB2312"/>
          <w:bCs/>
          <w:kern w:val="0"/>
          <w:szCs w:val="32"/>
        </w:rPr>
        <w:t>严格依法依规开展招商引资、政府采购、招标投标等工作，严格履行各项约定义务，从源头预防和化解拖欠企业账款问题。</w:t>
      </w:r>
      <w:r>
        <w:rPr>
          <w:rFonts w:hint="eastAsia" w:ascii="仿宋_GB2312" w:hAnsi="仿宋_GB2312" w:cs="仿宋_GB2312"/>
          <w:bCs/>
          <w:kern w:val="0"/>
          <w:szCs w:val="32"/>
          <w:lang w:eastAsia="zh-CN"/>
        </w:rPr>
        <w:t>各乡镇、县级各</w:t>
      </w:r>
      <w:r>
        <w:rPr>
          <w:rFonts w:hint="eastAsia" w:ascii="仿宋_GB2312" w:hAnsi="仿宋_GB2312" w:cs="仿宋_GB2312"/>
          <w:bCs/>
          <w:kern w:val="0"/>
          <w:szCs w:val="32"/>
        </w:rPr>
        <w:t>部门不得以人员变动、职能调整等为由违约毁约，杜绝“新官不理旧账”等现象。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5"/>
        <w:textAlignment w:val="auto"/>
        <w:rPr>
          <w:rFonts w:hint="eastAsia" w:ascii="仿宋_GB2312" w:hAnsi="仿宋_GB2312" w:cs="仿宋_GB2312"/>
          <w:bCs/>
          <w:kern w:val="0"/>
          <w:szCs w:val="32"/>
        </w:rPr>
      </w:pPr>
      <w:r>
        <w:rPr>
          <w:rFonts w:hint="eastAsia" w:ascii="楷体_GB2312" w:hAnsi="楷体_GB2312" w:eastAsia="楷体_GB2312" w:cs="楷体_GB2312"/>
          <w:bCs/>
          <w:snapToGrid w:val="0"/>
          <w:szCs w:val="32"/>
          <w:lang w:eastAsia="zh-CN"/>
        </w:rPr>
        <w:t>牵头单位：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县发展和改革局、县经济信息商务和科技局、县财政局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bCs/>
          <w:szCs w:val="32"/>
        </w:rPr>
      </w:pPr>
      <w:r>
        <w:rPr>
          <w:rFonts w:hint="eastAsia" w:ascii="楷体_GB2312" w:hAnsi="楷体_GB2312" w:eastAsia="楷体_GB2312" w:cs="楷体_GB2312"/>
          <w:bCs/>
          <w:szCs w:val="32"/>
        </w:rPr>
        <w:t>15.科学布局产业链。</w:t>
      </w:r>
      <w:r>
        <w:rPr>
          <w:rFonts w:hint="eastAsia" w:ascii="仿宋_GB2312" w:hAnsi="仿宋_GB2312" w:cs="仿宋_GB2312"/>
          <w:bCs/>
          <w:szCs w:val="32"/>
        </w:rPr>
        <w:t>做好园区和企业服务保障工作，实施龙头企业培育帮扶计划；对能源动力、交通运输、信息通讯、社会事业、科技等基础设施项目不开展能耗等量减量替代；支持绿色低碳产业和重点优势产业发展，将符合政策的企业纳入水电消纳产业示范区试点，在土地、能耗、污染物排放总量指标上予以优先保障。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5"/>
        <w:textAlignment w:val="auto"/>
        <w:rPr>
          <w:rFonts w:hint="eastAsia" w:ascii="仿宋_GB2312" w:hAnsi="仿宋_GB2312" w:cs="仿宋_GB2312"/>
          <w:bCs/>
          <w:szCs w:val="32"/>
        </w:rPr>
      </w:pPr>
      <w:r>
        <w:rPr>
          <w:rFonts w:hint="eastAsia" w:ascii="楷体_GB2312" w:hAnsi="楷体_GB2312" w:eastAsia="楷体_GB2312" w:cs="楷体_GB2312"/>
          <w:bCs/>
          <w:snapToGrid w:val="0"/>
          <w:szCs w:val="32"/>
          <w:lang w:eastAsia="zh-CN"/>
        </w:rPr>
        <w:t>牵头单位：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县发展和改革局、县经济信息商务和科技局、县自然资源和规划局、雅安市宝兴生态环境局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kern w:val="0"/>
          <w:szCs w:val="32"/>
        </w:rPr>
      </w:pPr>
      <w:r>
        <w:rPr>
          <w:rFonts w:hint="eastAsia" w:ascii="楷体_GB2312" w:hAnsi="楷体_GB2312" w:eastAsia="楷体_GB2312" w:cs="楷体_GB2312"/>
          <w:bCs/>
          <w:szCs w:val="32"/>
        </w:rPr>
        <w:t>16.加强金融要素保障。</w:t>
      </w:r>
      <w:r>
        <w:rPr>
          <w:rFonts w:hint="eastAsia" w:ascii="仿宋_GB2312" w:hAnsi="仿宋_GB2312" w:cs="仿宋_GB2312"/>
          <w:bCs/>
          <w:szCs w:val="32"/>
        </w:rPr>
        <w:t>健全金融顾问制度，开展“一企一策”精准配对服务。推动中小微企业“首贷户”数量持续增加，信用贷款余额持续增长。创新推出信用类贷款产品，加大支农支小再贷款，向小微企业发放低利率贷款。建立政府性融资担保机构的代偿补偿机制，高效、规范使用民营和小微企业贷款风险补偿基金。</w:t>
      </w:r>
      <w:r>
        <w:rPr>
          <w:rFonts w:hint="eastAsia" w:ascii="仿宋_GB2312" w:hAnsi="仿宋_GB2312" w:cs="仿宋_GB2312"/>
          <w:bCs/>
          <w:kern w:val="0"/>
          <w:szCs w:val="32"/>
        </w:rPr>
        <w:t>积极利用多层次资本市场融资，推进企业上市融资和债券发行。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kern w:val="0"/>
          <w:szCs w:val="32"/>
        </w:rPr>
      </w:pPr>
      <w:r>
        <w:rPr>
          <w:rFonts w:hint="eastAsia" w:ascii="楷体_GB2312" w:hAnsi="楷体_GB2312" w:eastAsia="楷体_GB2312" w:cs="楷体_GB2312"/>
          <w:bCs/>
          <w:snapToGrid w:val="0"/>
          <w:szCs w:val="32"/>
          <w:lang w:eastAsia="zh-CN"/>
        </w:rPr>
        <w:t>牵头单位：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县经济信息商务和科技局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szCs w:val="32"/>
        </w:rPr>
      </w:pPr>
      <w:r>
        <w:rPr>
          <w:rFonts w:hint="eastAsia" w:ascii="楷体_GB2312" w:hAnsi="楷体_GB2312" w:eastAsia="楷体_GB2312" w:cs="楷体_GB2312"/>
          <w:bCs/>
          <w:szCs w:val="32"/>
        </w:rPr>
        <w:t>17.加强企业用工服务。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u w:val="none"/>
          <w:lang w:eastAsia="zh-CN"/>
        </w:rPr>
        <w:t>建立重点用工保障制度，</w:t>
      </w:r>
      <w:r>
        <w:rPr>
          <w:rFonts w:hint="eastAsia" w:ascii="仿宋_GB2312" w:hAnsi="仿宋_GB2312" w:cs="仿宋_GB2312"/>
          <w:bCs/>
          <w:color w:val="auto"/>
          <w:szCs w:val="32"/>
          <w:u w:val="none"/>
        </w:rPr>
        <w:t>全力跟进解决企业用工需求，全</w:t>
      </w:r>
      <w:r>
        <w:rPr>
          <w:rFonts w:hint="eastAsia" w:ascii="仿宋_GB2312" w:hAnsi="仿宋_GB2312" w:cs="仿宋_GB2312"/>
          <w:bCs/>
          <w:szCs w:val="32"/>
        </w:rPr>
        <w:t>面落实“稳就业十五条”</w:t>
      </w:r>
      <w:r>
        <w:rPr>
          <w:rFonts w:hint="eastAsia" w:ascii="仿宋_GB2312" w:hAnsi="仿宋_GB2312" w:cs="仿宋_GB2312"/>
          <w:bCs/>
          <w:szCs w:val="32"/>
          <w:lang w:eastAsia="zh-CN"/>
        </w:rPr>
        <w:t>措施</w:t>
      </w:r>
      <w:r>
        <w:rPr>
          <w:rFonts w:hint="eastAsia" w:ascii="仿宋_GB2312" w:hAnsi="仿宋_GB2312" w:cs="仿宋_GB2312"/>
          <w:bCs/>
          <w:szCs w:val="32"/>
        </w:rPr>
        <w:t>，为企业提供全方位的人力资源服务保障。健全劳动力市场调解与仲裁衔接、劳动关系风险预警处理机制，推进劳动仲裁巡回庭进园区，维护劳动关系稳定。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szCs w:val="32"/>
        </w:rPr>
      </w:pPr>
      <w:r>
        <w:rPr>
          <w:rFonts w:hint="eastAsia" w:ascii="楷体_GB2312" w:hAnsi="楷体_GB2312" w:eastAsia="楷体_GB2312" w:cs="楷体_GB2312"/>
          <w:bCs/>
          <w:snapToGrid w:val="0"/>
          <w:szCs w:val="32"/>
          <w:lang w:eastAsia="zh-CN"/>
        </w:rPr>
        <w:t>牵头单位：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县人力资源和社会保障局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szCs w:val="32"/>
        </w:rPr>
      </w:pPr>
      <w:r>
        <w:rPr>
          <w:rFonts w:hint="eastAsia" w:ascii="楷体_GB2312" w:hAnsi="楷体_GB2312" w:eastAsia="楷体_GB2312" w:cs="楷体_GB2312"/>
          <w:bCs/>
          <w:szCs w:val="32"/>
        </w:rPr>
        <w:t>18.加大人才智力支撑。</w:t>
      </w:r>
      <w:r>
        <w:rPr>
          <w:rFonts w:hint="eastAsia" w:ascii="仿宋_GB2312" w:hAnsi="仿宋_GB2312" w:cs="仿宋_GB2312"/>
          <w:bCs/>
          <w:szCs w:val="32"/>
        </w:rPr>
        <w:t>编制重点产业急需紧缺人才目录，加大重点产业急需紧缺高层次人才引进力度；采取顾问、“候鸟式”兼职服务、技术合作等方式，拓宽企业高层次人才引进渠道；实施“</w:t>
      </w:r>
      <w:r>
        <w:rPr>
          <w:rFonts w:hint="eastAsia" w:ascii="仿宋_GB2312" w:hAnsi="仿宋_GB2312" w:cs="仿宋_GB2312"/>
          <w:bCs/>
          <w:szCs w:val="32"/>
          <w:lang w:eastAsia="zh-CN"/>
        </w:rPr>
        <w:t>英才聚宝</w:t>
      </w:r>
      <w:r>
        <w:rPr>
          <w:rFonts w:hint="eastAsia" w:ascii="仿宋_GB2312" w:hAnsi="仿宋_GB2312" w:cs="仿宋_GB2312"/>
          <w:bCs/>
          <w:szCs w:val="32"/>
        </w:rPr>
        <w:t>”</w:t>
      </w:r>
      <w:r>
        <w:rPr>
          <w:rFonts w:hint="eastAsia" w:ascii="仿宋_GB2312" w:hAnsi="仿宋_GB2312" w:cs="仿宋_GB2312"/>
          <w:bCs/>
          <w:szCs w:val="32"/>
          <w:lang w:eastAsia="zh-CN"/>
        </w:rPr>
        <w:t>工程</w:t>
      </w:r>
      <w:r>
        <w:rPr>
          <w:rFonts w:hint="eastAsia" w:ascii="仿宋_GB2312" w:hAnsi="仿宋_GB2312" w:cs="仿宋_GB2312"/>
          <w:bCs/>
          <w:szCs w:val="32"/>
        </w:rPr>
        <w:t>，遴选培养一批本土企业高层次人才；落实</w:t>
      </w:r>
      <w:r>
        <w:rPr>
          <w:rFonts w:hint="eastAsia" w:ascii="仿宋_GB2312" w:hAnsi="仿宋_GB2312" w:cs="仿宋_GB2312"/>
          <w:bCs/>
          <w:szCs w:val="32"/>
          <w:lang w:eastAsia="zh-CN"/>
        </w:rPr>
        <w:t>引进人才</w:t>
      </w:r>
      <w:r>
        <w:rPr>
          <w:rFonts w:hint="eastAsia" w:ascii="仿宋_GB2312" w:hAnsi="仿宋_GB2312" w:cs="仿宋_GB2312"/>
          <w:bCs/>
          <w:szCs w:val="32"/>
        </w:rPr>
        <w:t>就医、旅游、子女入学、配偶安置</w:t>
      </w:r>
      <w:r>
        <w:rPr>
          <w:rFonts w:hint="eastAsia" w:ascii="仿宋_GB2312" w:hAnsi="仿宋_GB2312" w:cs="仿宋_GB2312"/>
          <w:bCs/>
          <w:szCs w:val="32"/>
          <w:lang w:eastAsia="zh-CN"/>
        </w:rPr>
        <w:t>等</w:t>
      </w:r>
      <w:r>
        <w:rPr>
          <w:rFonts w:hint="eastAsia" w:ascii="仿宋_GB2312" w:hAnsi="仿宋_GB2312" w:cs="仿宋_GB2312"/>
          <w:bCs/>
          <w:szCs w:val="32"/>
        </w:rPr>
        <w:t>服务事项。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szCs w:val="32"/>
        </w:rPr>
      </w:pPr>
      <w:r>
        <w:rPr>
          <w:rFonts w:hint="eastAsia" w:ascii="楷体_GB2312" w:hAnsi="楷体_GB2312" w:eastAsia="楷体_GB2312" w:cs="楷体_GB2312"/>
          <w:bCs/>
          <w:snapToGrid w:val="0"/>
          <w:szCs w:val="32"/>
          <w:lang w:eastAsia="zh-CN"/>
        </w:rPr>
        <w:t>牵头单位：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县委组织部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szCs w:val="32"/>
        </w:rPr>
      </w:pPr>
      <w:r>
        <w:rPr>
          <w:rFonts w:hint="eastAsia" w:ascii="楷体_GB2312" w:hAnsi="楷体_GB2312" w:eastAsia="楷体_GB2312" w:cs="楷体_GB2312"/>
          <w:bCs/>
          <w:szCs w:val="32"/>
        </w:rPr>
        <w:t>19.加强科技型企业培育。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开展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eastAsia="zh-CN"/>
        </w:rPr>
        <w:t>高新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企业培育，对新认定为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eastAsia="zh-CN"/>
        </w:rPr>
        <w:t>高新技术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企业，给予一次性奖励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  <w:t>50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万元。</w:t>
      </w:r>
      <w:r>
        <w:rPr>
          <w:rFonts w:hint="eastAsia" w:ascii="仿宋_GB2312" w:hAnsi="仿宋_GB2312" w:cs="仿宋_GB2312"/>
          <w:bCs/>
          <w:szCs w:val="32"/>
        </w:rPr>
        <w:t>支持企业孵化载体建设；推进科技型企业研发投入后补助，激励企业加大研发投入；推广“天府科创贷”，鼓励金融机构加大对科技型企业创新资金支持。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szCs w:val="32"/>
        </w:rPr>
      </w:pPr>
      <w:r>
        <w:rPr>
          <w:rFonts w:hint="eastAsia" w:ascii="楷体_GB2312" w:hAnsi="楷体_GB2312" w:eastAsia="楷体_GB2312" w:cs="楷体_GB2312"/>
          <w:bCs/>
          <w:snapToGrid w:val="0"/>
          <w:szCs w:val="32"/>
          <w:lang w:eastAsia="zh-CN"/>
        </w:rPr>
        <w:t>牵头单位：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县经济信息商务和科技局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snapToGrid w:val="0"/>
          <w:w w:val="95"/>
          <w:szCs w:val="32"/>
        </w:rPr>
      </w:pPr>
      <w:r>
        <w:rPr>
          <w:rFonts w:hint="eastAsia" w:ascii="楷体_GB2312" w:hAnsi="楷体_GB2312" w:eastAsia="楷体_GB2312" w:cs="楷体_GB2312"/>
          <w:bCs/>
          <w:snapToGrid w:val="0"/>
          <w:szCs w:val="32"/>
        </w:rPr>
        <w:t>20.推动外资外贸提质。</w:t>
      </w:r>
      <w:r>
        <w:rPr>
          <w:rFonts w:hint="eastAsia" w:ascii="仿宋_GB2312" w:hAnsi="仿宋_GB2312" w:cs="仿宋_GB2312"/>
          <w:bCs/>
          <w:snapToGrid w:val="0"/>
          <w:szCs w:val="32"/>
        </w:rPr>
        <w:t>支持企业降低国际物流成本，实施外贸企业培育工程。出台外商投资奖励办法，健全外资企业“大</w:t>
      </w:r>
      <w:r>
        <w:rPr>
          <w:rFonts w:hint="eastAsia" w:ascii="仿宋_GB2312" w:hAnsi="仿宋_GB2312" w:cs="仿宋_GB2312"/>
          <w:bCs/>
          <w:snapToGrid w:val="0"/>
          <w:w w:val="95"/>
          <w:szCs w:val="32"/>
        </w:rPr>
        <w:t>走访”工作长效机制，所有备案外资项目一律实行告知性备案管理。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snapToGrid w:val="0"/>
          <w:w w:val="95"/>
          <w:szCs w:val="32"/>
        </w:rPr>
      </w:pPr>
      <w:r>
        <w:rPr>
          <w:rFonts w:hint="eastAsia" w:ascii="楷体_GB2312" w:hAnsi="楷体_GB2312" w:eastAsia="楷体_GB2312" w:cs="楷体_GB2312"/>
          <w:bCs/>
          <w:snapToGrid w:val="0"/>
          <w:szCs w:val="32"/>
          <w:lang w:eastAsia="zh-CN"/>
        </w:rPr>
        <w:t>牵头单位：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县经济信息商务和科技局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二、</w:t>
      </w:r>
      <w:r>
        <w:rPr>
          <w:rFonts w:hint="eastAsia" w:ascii="黑体" w:hAnsi="黑体" w:eastAsia="黑体"/>
          <w:bCs/>
          <w:szCs w:val="32"/>
          <w:shd w:val="clear" w:color="auto" w:fill="FFFFFF"/>
        </w:rPr>
        <w:t>优化营商环境</w:t>
      </w:r>
      <w:r>
        <w:rPr>
          <w:rFonts w:hint="eastAsia" w:ascii="黑体" w:hAnsi="黑体" w:eastAsia="黑体"/>
          <w:bCs/>
          <w:szCs w:val="32"/>
          <w:shd w:val="clear" w:color="auto" w:fill="FFFFFF"/>
          <w:lang w:val="en-US" w:eastAsia="zh-CN"/>
        </w:rPr>
        <w:t>6</w:t>
      </w:r>
      <w:r>
        <w:rPr>
          <w:rFonts w:hint="eastAsia" w:ascii="黑体" w:hAnsi="黑体" w:eastAsia="黑体"/>
          <w:bCs/>
          <w:szCs w:val="32"/>
          <w:shd w:val="clear" w:color="auto" w:fill="FFFFFF"/>
        </w:rPr>
        <w:t>条保障措施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5"/>
        <w:textAlignment w:val="auto"/>
        <w:rPr>
          <w:rFonts w:hint="eastAsia" w:ascii="仿宋_GB2312" w:hAnsi="仿宋_GB2312" w:cs="仿宋_GB2312"/>
          <w:bCs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szCs w:val="32"/>
        </w:rPr>
        <w:t>1.推行“一线工作法”。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深入开展“一线大接访”“一线惠民生”“一线办实事”等12个“一线”活动，充分发挥领导干部“关键少数”作用，坚持以上率下，带头出实招办实事、做好群众思想政治工作，在一线办实事求实效，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真正实现让群众少跑腿、少折腾、好办事</w:t>
      </w:r>
      <w:r>
        <w:rPr>
          <w:rFonts w:hint="eastAsia" w:ascii="仿宋_GB2312" w:hAnsi="仿宋_GB2312" w:cs="仿宋_GB2312"/>
          <w:bCs/>
          <w:szCs w:val="32"/>
          <w:lang w:eastAsia="zh-CN"/>
        </w:rPr>
        <w:t>。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szCs w:val="32"/>
        </w:rPr>
      </w:pPr>
      <w:r>
        <w:rPr>
          <w:rFonts w:hint="eastAsia" w:ascii="楷体_GB2312" w:hAnsi="楷体_GB2312" w:eastAsia="楷体_GB2312" w:cs="楷体_GB2312"/>
          <w:bCs/>
          <w:snapToGrid w:val="0"/>
          <w:szCs w:val="32"/>
          <w:lang w:eastAsia="zh-CN"/>
        </w:rPr>
        <w:t>牵头单位：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县委组织部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5"/>
        <w:textAlignment w:val="auto"/>
        <w:rPr>
          <w:rFonts w:hint="eastAsia" w:ascii="仿宋_GB2312" w:hAnsi="仿宋_GB2312" w:cs="仿宋_GB2312"/>
          <w:bCs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napToGrid w:val="0"/>
          <w:szCs w:val="32"/>
          <w:lang w:val="en-US" w:eastAsia="zh-CN"/>
        </w:rPr>
        <w:t>2.实行“局长走流程”。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建立“局长走流程、局长进大厅”工作机制，全面检查营商环境改革事项、政策宣传、信息化建设、窗口服务等工作落实情况，</w:t>
      </w:r>
      <w:r>
        <w:rPr>
          <w:rFonts w:hint="eastAsia" w:ascii="仿宋_GB2312" w:hAnsi="仿宋_GB2312" w:cs="仿宋_GB2312"/>
          <w:bCs/>
          <w:szCs w:val="32"/>
        </w:rPr>
        <w:t>打通办事堵点，畅通业务平台，深化重大改革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bCs/>
          <w:szCs w:val="32"/>
        </w:rPr>
        <w:t>切实提升企业和群众满意度、获得感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。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napToGrid w:val="0"/>
          <w:szCs w:val="32"/>
          <w:lang w:eastAsia="zh-CN"/>
        </w:rPr>
        <w:t>牵头单位：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县行政审批局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5"/>
        <w:textAlignment w:val="auto"/>
        <w:rPr>
          <w:rFonts w:hint="eastAsia" w:ascii="仿宋_GB2312" w:hAnsi="仿宋_GB2312" w:cs="仿宋_GB2312"/>
          <w:bCs/>
          <w:snapToGrid w:val="0"/>
          <w:szCs w:val="32"/>
        </w:rPr>
      </w:pPr>
      <w:r>
        <w:rPr>
          <w:rFonts w:hint="eastAsia" w:ascii="楷体_GB2312" w:hAnsi="楷体_GB2312" w:eastAsia="楷体_GB2312" w:cs="楷体_GB2312"/>
          <w:bCs/>
          <w:snapToGrid w:val="0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Cs/>
          <w:snapToGrid w:val="0"/>
          <w:szCs w:val="32"/>
        </w:rPr>
        <w:t>.畅通政企沟通渠道。</w:t>
      </w:r>
      <w:r>
        <w:rPr>
          <w:rFonts w:hint="eastAsia" w:ascii="仿宋_GB2312" w:hAnsi="仿宋_GB2312" w:cs="仿宋_GB2312"/>
          <w:bCs/>
          <w:snapToGrid w:val="0"/>
          <w:szCs w:val="32"/>
        </w:rPr>
        <w:t>建立</w:t>
      </w:r>
      <w:r>
        <w:rPr>
          <w:rFonts w:hint="eastAsia" w:ascii="仿宋_GB2312" w:hAnsi="仿宋_GB2312" w:cs="仿宋_GB2312"/>
          <w:bCs/>
          <w:snapToGrid w:val="0"/>
          <w:szCs w:val="32"/>
          <w:lang w:eastAsia="zh-CN"/>
        </w:rPr>
        <w:t>县</w:t>
      </w:r>
      <w:r>
        <w:rPr>
          <w:rFonts w:hint="eastAsia" w:ascii="仿宋_GB2312" w:hAnsi="仿宋_GB2312" w:cs="仿宋_GB2312"/>
          <w:bCs/>
          <w:snapToGrid w:val="0"/>
          <w:szCs w:val="32"/>
        </w:rPr>
        <w:t>级领导联系、走访重点企业制度，协调督办解决企业实际困难。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选聘营商环境监督员，开展优化营商环境监督工作</w:t>
      </w:r>
      <w:r>
        <w:rPr>
          <w:rFonts w:hint="eastAsia" w:ascii="仿宋_GB2312" w:hAnsi="仿宋_GB2312" w:cs="仿宋_GB2312"/>
          <w:bCs/>
          <w:szCs w:val="32"/>
        </w:rPr>
        <w:t>。通过社会监督员反馈、百人联百企走访、政企“面对面”座谈等，收集</w:t>
      </w:r>
      <w:r>
        <w:rPr>
          <w:rFonts w:hint="eastAsia" w:ascii="仿宋_GB2312" w:hAnsi="仿宋_GB2312" w:cs="仿宋_GB2312"/>
          <w:bCs/>
          <w:snapToGrid w:val="0"/>
          <w:szCs w:val="32"/>
        </w:rPr>
        <w:t>市场主体关注的难点重点问题及</w:t>
      </w:r>
      <w:r>
        <w:rPr>
          <w:rFonts w:hint="eastAsia" w:ascii="仿宋_GB2312" w:hAnsi="仿宋_GB2312" w:cs="仿宋_GB2312"/>
          <w:bCs/>
          <w:szCs w:val="32"/>
        </w:rPr>
        <w:t>意见建议，完善受理、转办、回访制度，打通堵点、解决难点，</w:t>
      </w:r>
      <w:r>
        <w:rPr>
          <w:rFonts w:hint="eastAsia" w:ascii="仿宋_GB2312" w:hAnsi="仿宋_GB2312" w:cs="仿宋_GB2312"/>
          <w:bCs/>
          <w:snapToGrid w:val="0"/>
          <w:szCs w:val="32"/>
        </w:rPr>
        <w:t>及时回应企业关切。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5"/>
        <w:textAlignment w:val="auto"/>
        <w:rPr>
          <w:rFonts w:hint="eastAsia" w:ascii="仿宋_GB2312" w:hAnsi="仿宋_GB2312" w:cs="仿宋_GB2312"/>
          <w:bCs/>
          <w:snapToGrid w:val="0"/>
          <w:szCs w:val="32"/>
        </w:rPr>
      </w:pPr>
      <w:r>
        <w:rPr>
          <w:rFonts w:hint="eastAsia" w:ascii="楷体_GB2312" w:hAnsi="楷体_GB2312" w:eastAsia="楷体_GB2312" w:cs="楷体_GB2312"/>
          <w:bCs/>
          <w:snapToGrid w:val="0"/>
          <w:szCs w:val="32"/>
          <w:lang w:eastAsia="zh-CN"/>
        </w:rPr>
        <w:t>牵头单位：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县委统战部、县经济信息商务和科技局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Cs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Cs/>
          <w:szCs w:val="32"/>
        </w:rPr>
        <w:t>.</w:t>
      </w:r>
      <w:r>
        <w:rPr>
          <w:rFonts w:hint="eastAsia" w:ascii="楷体_GB2312" w:hAnsi="楷体_GB2312" w:eastAsia="楷体_GB2312" w:cs="楷体_GB2312"/>
          <w:bCs/>
          <w:szCs w:val="32"/>
          <w:lang w:eastAsia="zh-CN"/>
        </w:rPr>
        <w:t>开展“阳光政务”专项行动</w:t>
      </w:r>
      <w:r>
        <w:rPr>
          <w:rFonts w:hint="eastAsia" w:ascii="楷体_GB2312" w:hAnsi="楷体_GB2312" w:eastAsia="楷体_GB2312" w:cs="楷体_GB2312"/>
          <w:bCs/>
          <w:szCs w:val="32"/>
        </w:rPr>
        <w:t>。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eastAsia="zh-CN"/>
        </w:rPr>
        <w:t>持续改进工作作风，不断优化工作流程，建立健全工作落实机制，深入查找工作中存在的问题和短板。同时，畅通营商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环境问题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eastAsia="zh-CN"/>
        </w:rPr>
        <w:t>举报投诉、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受理办理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eastAsia="zh-CN"/>
        </w:rPr>
        <w:t>渠道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，搭建线上线下有机交互的营商环境监督体系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并建立与纪检监察机关的信息共享、线索移交、查处曝光机制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eastAsia="zh-CN"/>
        </w:rPr>
        <w:t>，确保权利在阳光下运行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。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Cs/>
          <w:snapToGrid w:val="0"/>
          <w:szCs w:val="32"/>
          <w:lang w:eastAsia="zh-CN"/>
        </w:rPr>
        <w:t>牵头单位：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县政府办、县纪委监委机关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</w:rPr>
      </w:pPr>
      <w:r>
        <w:rPr>
          <w:rFonts w:hint="eastAsia" w:ascii="楷体_GB2312" w:hAnsi="楷体_GB2312" w:eastAsia="楷体_GB2312" w:cs="楷体_GB2312"/>
          <w:bCs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Cs/>
          <w:szCs w:val="32"/>
        </w:rPr>
        <w:t>.</w:t>
      </w:r>
      <w:r>
        <w:rPr>
          <w:rFonts w:hint="eastAsia" w:ascii="楷体_GB2312" w:hAnsi="楷体_GB2312" w:eastAsia="楷体_GB2312" w:cs="楷体_GB2312"/>
          <w:bCs/>
        </w:rPr>
        <w:t>加强执纪执法监督。</w:t>
      </w:r>
      <w:r>
        <w:rPr>
          <w:rFonts w:hint="eastAsia" w:ascii="仿宋_GB2312" w:hAnsi="仿宋_GB2312" w:cs="仿宋_GB2312"/>
          <w:bCs/>
        </w:rPr>
        <w:t>把优化营商环境纳入纪检监察机关日常监督、派驻监督和巡察监督的重要内容，跟踪曝光在服务企业过程中推诿扯皮、消极应付等行为，对涉及营商环境的腐败和作风问题严肃追责问责。严厉打击干扰破坏民营经济健康发展行为，坚决查处惠企政策不落实、资金项目落地慢、项目招投标违纪违法等突出问题。严格落实“三个区分开来”，精准高效用好容错纠错机制，激励干部担当作为。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</w:rPr>
      </w:pPr>
      <w:r>
        <w:rPr>
          <w:rFonts w:hint="eastAsia" w:ascii="楷体_GB2312" w:hAnsi="楷体_GB2312" w:eastAsia="楷体_GB2312" w:cs="楷体_GB2312"/>
          <w:bCs/>
          <w:snapToGrid w:val="0"/>
          <w:szCs w:val="32"/>
          <w:lang w:eastAsia="zh-CN"/>
        </w:rPr>
        <w:t>牵头单位：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县纪委监委机关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kern w:val="0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Cs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Cs/>
          <w:szCs w:val="32"/>
        </w:rPr>
        <w:t>.强化考评激励约束。</w:t>
      </w:r>
      <w:r>
        <w:rPr>
          <w:rFonts w:hint="eastAsia" w:ascii="仿宋_GB2312" w:hAnsi="仿宋_GB2312" w:cs="仿宋_GB2312"/>
          <w:bCs/>
          <w:szCs w:val="32"/>
        </w:rPr>
        <w:t>建立优化营商环境“红黑榜”通报机制和专项考核制度，每年</w:t>
      </w:r>
      <w:r>
        <w:rPr>
          <w:rFonts w:hint="eastAsia" w:ascii="仿宋_GB2312" w:hAnsi="仿宋_GB2312" w:cs="仿宋_GB2312"/>
          <w:bCs/>
          <w:snapToGrid w:val="0"/>
          <w:szCs w:val="32"/>
        </w:rPr>
        <w:t>评选全</w:t>
      </w:r>
      <w:r>
        <w:rPr>
          <w:rFonts w:hint="eastAsia" w:ascii="仿宋_GB2312" w:hAnsi="仿宋_GB2312" w:cs="仿宋_GB2312"/>
          <w:bCs/>
          <w:snapToGrid w:val="0"/>
          <w:szCs w:val="32"/>
          <w:lang w:eastAsia="zh-CN"/>
        </w:rPr>
        <w:t>县</w:t>
      </w:r>
      <w:r>
        <w:rPr>
          <w:rFonts w:hint="eastAsia" w:ascii="仿宋_GB2312" w:hAnsi="仿宋_GB2312" w:cs="仿宋_GB2312"/>
          <w:bCs/>
          <w:snapToGrid w:val="0"/>
          <w:szCs w:val="32"/>
        </w:rPr>
        <w:t>优化营商环境典型案例对外公布</w:t>
      </w:r>
      <w:r>
        <w:rPr>
          <w:rFonts w:hint="eastAsia" w:ascii="仿宋_GB2312" w:hAnsi="仿宋_GB2312" w:cs="仿宋_GB2312"/>
          <w:bCs/>
          <w:szCs w:val="32"/>
        </w:rPr>
        <w:t>，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推动各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eastAsia="zh-CN"/>
        </w:rPr>
        <w:t>乡（镇）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、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eastAsia="zh-CN"/>
        </w:rPr>
        <w:t>县级各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部门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eastAsia="zh-CN"/>
        </w:rPr>
        <w:t>制定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务实管用的改革措施，形成可复制可推广的工作机制和创新成果</w:t>
      </w:r>
      <w:r>
        <w:rPr>
          <w:rFonts w:hint="eastAsia" w:ascii="仿宋_GB2312" w:hAnsi="仿宋_GB2312" w:cs="仿宋_GB2312"/>
          <w:bCs/>
          <w:kern w:val="0"/>
          <w:szCs w:val="32"/>
          <w:shd w:val="clear" w:color="auto" w:fill="FFFFFF"/>
        </w:rPr>
        <w:t>。</w:t>
      </w:r>
    </w:p>
    <w:p>
      <w:pPr>
        <w:pStyle w:val="37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800" w:leftChars="0"/>
        <w:jc w:val="both"/>
        <w:textAlignment w:val="auto"/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snapToGrid w:val="0"/>
          <w:szCs w:val="32"/>
          <w:lang w:eastAsia="zh-CN"/>
        </w:rPr>
        <w:t>牵头单位：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eastAsia="zh-CN"/>
        </w:rPr>
        <w:t>优化营商环境工作领导小组办公室</w:t>
      </w:r>
    </w:p>
    <w:p>
      <w:pPr>
        <w:pStyle w:val="37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800" w:leftChars="0"/>
        <w:jc w:val="both"/>
        <w:textAlignment w:val="auto"/>
        <w:rPr>
          <w:rFonts w:hint="eastAsia" w:ascii="黑体" w:hAnsi="黑体" w:eastAsia="黑体" w:cs="黑体"/>
          <w:color w:val="auto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zCs w:val="32"/>
          <w:u w:val="none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" w:eastAsia="zh-CN"/>
        </w:rPr>
        <w:t>（一）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加强组织领导。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各级各部门要把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优化营商环境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工作摆上更加突出位置，建立主要领导亲自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谋划、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分管领导具体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安排、责任科室推进落实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的工作机制，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确保各项措施落地见效。县优化营商环境工作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领导小组办公室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要强化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跟踪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调度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将措施落实情况纳入对各乡（镇）、县级有关部门的年度目标绩效考核。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（二）细化工作举措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各牵头单位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迅速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配套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实施方案，明确工作职责，逐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细化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举措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、实施范围、审批要求等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向社会公布。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牵头单位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工作推进及相关政策落实情况，请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11月2日前报县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优化营商环境工作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领导小组办公室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（三）加大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培训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力度。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县委组织部要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把中、省、市优化营商环境重要文件、政策措施作为全县党员干部教育培训内容，并纳入年度干部教育培训计划。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各牵头单位要及时开展本行业、本系统政策培训和业务培训，推动各项政策措施落地落实。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kern w:val="0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广泛宣传引导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。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委宣传部要创新宣传方式，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lang w:eastAsia="zh-CN"/>
        </w:rPr>
        <w:t>召开新闻发布会，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用好各类媒介，大力宣传解读好系列措施。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级牵头单位要组织开展专题宣讲，要到园区、企业精准宣传政策，切实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知晓度、支持度和参与度</w:t>
      </w:r>
      <w:r>
        <w:rPr>
          <w:rFonts w:hint="eastAsia" w:ascii="仿宋_GB2312" w:hAnsi="仿宋_GB2312" w:cs="仿宋_GB2312"/>
          <w:bCs/>
          <w:kern w:val="0"/>
          <w:szCs w:val="32"/>
          <w:shd w:val="clear" w:color="auto" w:fill="FFFFFF"/>
          <w:lang w:eastAsia="zh-CN"/>
        </w:rPr>
        <w:t>。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kern w:val="0"/>
          <w:szCs w:val="32"/>
          <w:shd w:val="clear" w:color="auto" w:fill="FFFFFF"/>
        </w:rPr>
      </w:pP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cs="仿宋_GB2312"/>
          <w:bCs/>
          <w:kern w:val="0"/>
          <w:szCs w:val="32"/>
          <w:shd w:val="clear" w:color="auto" w:fill="FFFFFF"/>
        </w:rPr>
      </w:pP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2880" w:firstLineChars="900"/>
        <w:textAlignment w:val="auto"/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cs="仿宋_GB2312"/>
          <w:bCs/>
          <w:szCs w:val="32"/>
          <w:shd w:val="clear" w:color="auto" w:fill="FFFFFF"/>
          <w:lang w:eastAsia="zh-CN"/>
        </w:rPr>
        <w:t>宝兴县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eastAsia="zh-CN"/>
        </w:rPr>
        <w:t>优化营商环境工作领导小组办公室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5120" w:firstLineChars="1600"/>
        <w:textAlignment w:val="auto"/>
        <w:rPr>
          <w:rFonts w:hint="eastAsia" w:ascii="仿宋_GB2312" w:hAnsi="仿宋_GB2312" w:cs="仿宋_GB2312"/>
          <w:bCs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bCs/>
          <w:szCs w:val="32"/>
          <w:shd w:val="clear" w:color="auto" w:fill="FFFFFF"/>
          <w:lang w:eastAsia="zh-CN"/>
        </w:rPr>
        <w:t>2022年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eastAsia="zh-CN"/>
        </w:rPr>
        <w:t>月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eastAsia="zh-CN"/>
        </w:rPr>
        <w:t>日</w:t>
      </w:r>
    </w:p>
    <w:p>
      <w:pPr>
        <w:pStyle w:val="3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5120" w:firstLineChars="1600"/>
        <w:textAlignment w:val="auto"/>
        <w:rPr>
          <w:rFonts w:hint="eastAsia" w:ascii="仿宋_GB2312" w:hAnsi="仿宋_GB2312" w:cs="仿宋_GB2312"/>
          <w:bCs/>
          <w:szCs w:val="32"/>
          <w:shd w:val="clear" w:color="auto" w:fill="FFFFFF"/>
          <w:lang w:eastAsia="zh-CN"/>
        </w:rPr>
      </w:pPr>
    </w:p>
    <w:p/>
    <w:p/>
    <w:p>
      <w:pPr>
        <w:pStyle w:val="9"/>
      </w:pPr>
    </w:p>
    <w:p/>
    <w:p>
      <w:pPr>
        <w:pStyle w:val="9"/>
      </w:pPr>
    </w:p>
    <w:p>
      <w:pPr>
        <w:pStyle w:val="9"/>
      </w:pPr>
    </w:p>
    <w:p/>
    <w:p>
      <w:pPr>
        <w:pStyle w:val="9"/>
      </w:pPr>
    </w:p>
    <w:p/>
    <w:p>
      <w:pPr>
        <w:pStyle w:val="9"/>
      </w:pPr>
    </w:p>
    <w:p>
      <w:pPr>
        <w:pStyle w:val="2"/>
      </w:pPr>
    </w:p>
    <w:p/>
    <w:p>
      <w:pPr>
        <w:widowControl w:val="0"/>
        <w:pBdr>
          <w:top w:val="single" w:color="auto" w:sz="6" w:space="0"/>
          <w:bottom w:val="single" w:color="auto" w:sz="6" w:space="1"/>
        </w:pBdr>
        <w:suppressAutoHyphens/>
        <w:spacing w:after="0" w:afterLines="0" w:line="440" w:lineRule="exact"/>
        <w:jc w:val="both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仿宋_GB2312" w:hAnsi="仿宋" w:eastAsia="仿宋_GB2312" w:cs="仿宋_GB2312"/>
          <w:kern w:val="2"/>
          <w:sz w:val="28"/>
          <w:szCs w:val="28"/>
        </w:rPr>
        <w:t xml:space="preserve"> </w:t>
      </w:r>
      <w:r>
        <w:rPr>
          <w:rFonts w:hint="default" w:ascii="仿宋_GB2312" w:hAnsi="仿宋" w:eastAsia="仿宋_GB2312" w:cs="仿宋_GB2312"/>
          <w:kern w:val="2"/>
          <w:sz w:val="28"/>
          <w:szCs w:val="28"/>
        </w:rPr>
        <w:t xml:space="preserve"> </w:t>
      </w:r>
      <w:r>
        <w:rPr>
          <w:rFonts w:ascii="仿宋_GB2312" w:hAnsi="仿宋" w:eastAsia="仿宋_GB2312" w:cs="仿宋_GB2312"/>
          <w:kern w:val="2"/>
          <w:sz w:val="28"/>
          <w:szCs w:val="28"/>
        </w:rPr>
        <w:t>宝兴县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28"/>
          <w:szCs w:val="28"/>
        </w:rPr>
        <w:t>优化营商环境工作领导小组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28"/>
          <w:szCs w:val="28"/>
          <w:lang w:val="en-US" w:eastAsia="zh-CN"/>
        </w:rPr>
        <w:t xml:space="preserve">办公室   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28"/>
          <w:szCs w:val="28"/>
        </w:rPr>
        <w:t xml:space="preserve"> 2022年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28"/>
          <w:szCs w:val="28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28"/>
          <w:szCs w:val="28"/>
        </w:rPr>
        <w:t>日印发</w:t>
      </w:r>
      <w:r>
        <w:rPr>
          <w:rFonts w:hint="eastAsia" w:ascii="仿宋_GB2312" w:hAnsi="仿宋" w:eastAsia="仿宋_GB2312" w:cs="仿宋_GB2312"/>
          <w:kern w:val="2"/>
          <w:sz w:val="28"/>
          <w:szCs w:val="28"/>
        </w:rPr>
        <w:t xml:space="preserve">  </w:t>
      </w:r>
    </w:p>
    <w:sectPr>
      <w:footerReference r:id="rId3" w:type="default"/>
      <w:pgSz w:w="11906" w:h="16838"/>
      <w:pgMar w:top="2098" w:right="1474" w:bottom="1985" w:left="1588" w:header="851" w:footer="170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DejaVu Math TeX Gyr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黑体简体">
    <w:altName w:val="方正小标宋简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uto" w:vAnchor="text" w:hAnchor="margin" w:xAlign="outside" w:y="1"/>
      <w:ind w:left="210" w:leftChars="100" w:right="210" w:rightChars="100"/>
      <w:rPr>
        <w:rStyle w:val="20"/>
        <w:rFonts w:ascii="宋体"/>
        <w:sz w:val="28"/>
        <w:szCs w:val="28"/>
      </w:rPr>
    </w:pPr>
    <w:r>
      <w:rPr>
        <w:rStyle w:val="20"/>
        <w:rFonts w:ascii="宋体" w:hAnsi="宋体" w:cs="宋体"/>
        <w:sz w:val="28"/>
        <w:szCs w:val="28"/>
      </w:rPr>
      <w:fldChar w:fldCharType="begin"/>
    </w:r>
    <w:r>
      <w:rPr>
        <w:rStyle w:val="20"/>
        <w:rFonts w:ascii="宋体" w:hAnsi="宋体" w:cs="宋体"/>
        <w:sz w:val="28"/>
        <w:szCs w:val="28"/>
      </w:rPr>
      <w:instrText xml:space="preserve">PAGE  </w:instrText>
    </w:r>
    <w:r>
      <w:rPr>
        <w:rStyle w:val="20"/>
        <w:rFonts w:ascii="宋体" w:hAnsi="宋体" w:cs="宋体"/>
        <w:sz w:val="28"/>
        <w:szCs w:val="28"/>
      </w:rPr>
      <w:fldChar w:fldCharType="separate"/>
    </w:r>
    <w:r>
      <w:rPr>
        <w:rStyle w:val="20"/>
        <w:rFonts w:ascii="宋体" w:hAnsi="宋体" w:cs="宋体"/>
        <w:sz w:val="28"/>
        <w:szCs w:val="28"/>
      </w:rPr>
      <w:t>- 18 -</w:t>
    </w:r>
    <w:r>
      <w:rPr>
        <w:rStyle w:val="20"/>
        <w:rFonts w:ascii="宋体" w:hAnsi="宋体" w:cs="宋体"/>
        <w:sz w:val="28"/>
        <w:szCs w:val="28"/>
      </w:rPr>
      <w:fldChar w:fldCharType="end"/>
    </w:r>
  </w:p>
  <w:p>
    <w:pPr>
      <w:pStyle w:val="1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pStyle w:val="35"/>
      <w:suff w:val="nothing"/>
      <w:lvlText w:val="%1、"/>
      <w:lvlJc w:val="left"/>
      <w:pPr>
        <w:ind w:left="0" w:firstLine="0"/>
      </w:pPr>
      <w:rPr>
        <w:rFonts w:hint="eastAsia"/>
        <w:b w:val="0"/>
        <w:i w:val="0"/>
        <w:caps w:val="0"/>
        <w:vanish w:val="0"/>
        <w:color w:val="auto"/>
        <w:sz w:val="32"/>
        <w:u w:val="none"/>
        <w:vertAlign w:val="baseline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true"/>
  <w:bordersDoNotSurroundFooter w:val="true"/>
  <w:documentProtection w:edit="readOnly" w:enforcement="0"/>
  <w:defaultTabStop w:val="420"/>
  <w:doNotHyphenateCaps/>
  <w:drawingGridHorizontalSpacing w:val="105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ODQ1YTY5MDQ3NDFlYjQwNTNiYmM4OTRmZWUwMWEifQ=="/>
  </w:docVars>
  <w:rsids>
    <w:rsidRoot w:val="006B4AC0"/>
    <w:rsid w:val="000941C9"/>
    <w:rsid w:val="000A4B55"/>
    <w:rsid w:val="00115A2D"/>
    <w:rsid w:val="00131646"/>
    <w:rsid w:val="00183CEC"/>
    <w:rsid w:val="001B5448"/>
    <w:rsid w:val="002862B7"/>
    <w:rsid w:val="002A7302"/>
    <w:rsid w:val="003221B4"/>
    <w:rsid w:val="00382750"/>
    <w:rsid w:val="003E38B2"/>
    <w:rsid w:val="003F26E9"/>
    <w:rsid w:val="00433CAA"/>
    <w:rsid w:val="004567AB"/>
    <w:rsid w:val="00530E77"/>
    <w:rsid w:val="00530E92"/>
    <w:rsid w:val="0056629D"/>
    <w:rsid w:val="005F2787"/>
    <w:rsid w:val="0060279E"/>
    <w:rsid w:val="0062397C"/>
    <w:rsid w:val="0068491E"/>
    <w:rsid w:val="006B4AC0"/>
    <w:rsid w:val="007171B7"/>
    <w:rsid w:val="00795FCF"/>
    <w:rsid w:val="00861EA9"/>
    <w:rsid w:val="008B68A0"/>
    <w:rsid w:val="0096206D"/>
    <w:rsid w:val="00A16263"/>
    <w:rsid w:val="00A32DCF"/>
    <w:rsid w:val="00A45DF9"/>
    <w:rsid w:val="00A74ACF"/>
    <w:rsid w:val="00A82E8A"/>
    <w:rsid w:val="00A9285A"/>
    <w:rsid w:val="00AC7A42"/>
    <w:rsid w:val="00AE0170"/>
    <w:rsid w:val="00AE1047"/>
    <w:rsid w:val="00AF4881"/>
    <w:rsid w:val="00AF7FD2"/>
    <w:rsid w:val="00B035EF"/>
    <w:rsid w:val="00B26F59"/>
    <w:rsid w:val="00B92C11"/>
    <w:rsid w:val="00BC47F6"/>
    <w:rsid w:val="00BD6634"/>
    <w:rsid w:val="00BE0326"/>
    <w:rsid w:val="00CC76CF"/>
    <w:rsid w:val="00D15E47"/>
    <w:rsid w:val="00D76AA2"/>
    <w:rsid w:val="00DB1B0F"/>
    <w:rsid w:val="00DC74CE"/>
    <w:rsid w:val="00E07B1D"/>
    <w:rsid w:val="00E75912"/>
    <w:rsid w:val="00E77877"/>
    <w:rsid w:val="00EB0FF9"/>
    <w:rsid w:val="00F02188"/>
    <w:rsid w:val="00F318A7"/>
    <w:rsid w:val="00F360A9"/>
    <w:rsid w:val="00F37F7A"/>
    <w:rsid w:val="00F547DD"/>
    <w:rsid w:val="04E99FAA"/>
    <w:rsid w:val="04FD5C6C"/>
    <w:rsid w:val="06FD0745"/>
    <w:rsid w:val="0AFFBDFE"/>
    <w:rsid w:val="1BFC6F15"/>
    <w:rsid w:val="1BFFFAD5"/>
    <w:rsid w:val="1DE7A939"/>
    <w:rsid w:val="1E26C657"/>
    <w:rsid w:val="1F77ED69"/>
    <w:rsid w:val="1FEDF250"/>
    <w:rsid w:val="228D478D"/>
    <w:rsid w:val="26F7D7D7"/>
    <w:rsid w:val="272B4765"/>
    <w:rsid w:val="2C7F1A3E"/>
    <w:rsid w:val="2F3FD5BD"/>
    <w:rsid w:val="2F7FA940"/>
    <w:rsid w:val="2FBFA2D0"/>
    <w:rsid w:val="2FFE0236"/>
    <w:rsid w:val="35DFEB34"/>
    <w:rsid w:val="376F5D49"/>
    <w:rsid w:val="3A3B8D38"/>
    <w:rsid w:val="3C9FE038"/>
    <w:rsid w:val="3CFF5C56"/>
    <w:rsid w:val="3D4FA66C"/>
    <w:rsid w:val="3DF111C8"/>
    <w:rsid w:val="3DFF2903"/>
    <w:rsid w:val="3E2730E1"/>
    <w:rsid w:val="3EFBA08D"/>
    <w:rsid w:val="3F5F51BB"/>
    <w:rsid w:val="3F63AC8F"/>
    <w:rsid w:val="3F6BA70A"/>
    <w:rsid w:val="3FB39AD1"/>
    <w:rsid w:val="3FBEC421"/>
    <w:rsid w:val="3FD31A2A"/>
    <w:rsid w:val="42BFB5C2"/>
    <w:rsid w:val="47D3C8B3"/>
    <w:rsid w:val="47FF67ED"/>
    <w:rsid w:val="4AD92233"/>
    <w:rsid w:val="4DEA4CDA"/>
    <w:rsid w:val="4EBF2DE2"/>
    <w:rsid w:val="4F4B9B65"/>
    <w:rsid w:val="55F27326"/>
    <w:rsid w:val="575FC658"/>
    <w:rsid w:val="57FF067D"/>
    <w:rsid w:val="57FF71E8"/>
    <w:rsid w:val="57FF8230"/>
    <w:rsid w:val="5DDD16D7"/>
    <w:rsid w:val="5DEF07A5"/>
    <w:rsid w:val="5DFFF966"/>
    <w:rsid w:val="5EFE63A4"/>
    <w:rsid w:val="5EFEFC02"/>
    <w:rsid w:val="5F6DA919"/>
    <w:rsid w:val="5FBBD2CF"/>
    <w:rsid w:val="66FFB6F7"/>
    <w:rsid w:val="67F7B485"/>
    <w:rsid w:val="69FE7D62"/>
    <w:rsid w:val="6ABE5662"/>
    <w:rsid w:val="6B16747D"/>
    <w:rsid w:val="6B3EFC98"/>
    <w:rsid w:val="6BBD6C3D"/>
    <w:rsid w:val="6BF7A225"/>
    <w:rsid w:val="6CFAFD6B"/>
    <w:rsid w:val="6DC11E11"/>
    <w:rsid w:val="6E7FE5C1"/>
    <w:rsid w:val="6E87B66D"/>
    <w:rsid w:val="6E9F6157"/>
    <w:rsid w:val="6F3BB265"/>
    <w:rsid w:val="6FBDCED1"/>
    <w:rsid w:val="6FF459BB"/>
    <w:rsid w:val="6FFFACEB"/>
    <w:rsid w:val="70EB10F4"/>
    <w:rsid w:val="70F35487"/>
    <w:rsid w:val="72B64883"/>
    <w:rsid w:val="73B96773"/>
    <w:rsid w:val="73BF129F"/>
    <w:rsid w:val="73DB8845"/>
    <w:rsid w:val="759FC781"/>
    <w:rsid w:val="75BDC91B"/>
    <w:rsid w:val="761CF902"/>
    <w:rsid w:val="76BFACB2"/>
    <w:rsid w:val="76F336FA"/>
    <w:rsid w:val="776F72B4"/>
    <w:rsid w:val="77EF2810"/>
    <w:rsid w:val="77FF9A69"/>
    <w:rsid w:val="78BF1869"/>
    <w:rsid w:val="78FEA504"/>
    <w:rsid w:val="79D7BDA4"/>
    <w:rsid w:val="79DF2985"/>
    <w:rsid w:val="7AF7F3EF"/>
    <w:rsid w:val="7B6785B6"/>
    <w:rsid w:val="7BBFA897"/>
    <w:rsid w:val="7BED3AB2"/>
    <w:rsid w:val="7BEF7948"/>
    <w:rsid w:val="7CE723FA"/>
    <w:rsid w:val="7DBEEBA5"/>
    <w:rsid w:val="7DFD6E8B"/>
    <w:rsid w:val="7E77018C"/>
    <w:rsid w:val="7E9B53A9"/>
    <w:rsid w:val="7EF79C37"/>
    <w:rsid w:val="7EFDC52F"/>
    <w:rsid w:val="7F7E8F91"/>
    <w:rsid w:val="7F9F66F1"/>
    <w:rsid w:val="7FAD9434"/>
    <w:rsid w:val="7FAEAD5C"/>
    <w:rsid w:val="7FBAB2E2"/>
    <w:rsid w:val="7FCFEC76"/>
    <w:rsid w:val="7FECBA83"/>
    <w:rsid w:val="7FEE2047"/>
    <w:rsid w:val="7FEEF449"/>
    <w:rsid w:val="7FEFB364"/>
    <w:rsid w:val="7FF5292F"/>
    <w:rsid w:val="7FF76F38"/>
    <w:rsid w:val="7FFA29B4"/>
    <w:rsid w:val="7FFB484A"/>
    <w:rsid w:val="7FFD1E25"/>
    <w:rsid w:val="7FFF0B3B"/>
    <w:rsid w:val="9DF7156A"/>
    <w:rsid w:val="9DFF55EF"/>
    <w:rsid w:val="9FBFEF24"/>
    <w:rsid w:val="A47967A1"/>
    <w:rsid w:val="A9FFBF12"/>
    <w:rsid w:val="AC37E8BC"/>
    <w:rsid w:val="AEFDE814"/>
    <w:rsid w:val="AFCEFF3D"/>
    <w:rsid w:val="AFFFDC20"/>
    <w:rsid w:val="B4B72199"/>
    <w:rsid w:val="BAB916CC"/>
    <w:rsid w:val="BBB50151"/>
    <w:rsid w:val="BBF9D0E2"/>
    <w:rsid w:val="BDFF9032"/>
    <w:rsid w:val="BE7F6AD3"/>
    <w:rsid w:val="BEDD1653"/>
    <w:rsid w:val="BF3F1696"/>
    <w:rsid w:val="BF5F09D4"/>
    <w:rsid w:val="BF6B10E4"/>
    <w:rsid w:val="BFE5C5B7"/>
    <w:rsid w:val="C3DCB027"/>
    <w:rsid w:val="CCD620B2"/>
    <w:rsid w:val="CFFB3360"/>
    <w:rsid w:val="D190347E"/>
    <w:rsid w:val="D4F52C84"/>
    <w:rsid w:val="D7D7BB92"/>
    <w:rsid w:val="D7DF59BC"/>
    <w:rsid w:val="D7FD5DAC"/>
    <w:rsid w:val="D7FE3688"/>
    <w:rsid w:val="DBDF2173"/>
    <w:rsid w:val="DDFEC39D"/>
    <w:rsid w:val="DDFF819F"/>
    <w:rsid w:val="DF5F2B4D"/>
    <w:rsid w:val="DF6FEB3A"/>
    <w:rsid w:val="DFB7F464"/>
    <w:rsid w:val="DFDCA0D6"/>
    <w:rsid w:val="DFE9B2F0"/>
    <w:rsid w:val="DFEBC32D"/>
    <w:rsid w:val="E2CD4709"/>
    <w:rsid w:val="E3B54F1D"/>
    <w:rsid w:val="E577D50E"/>
    <w:rsid w:val="E66D55FA"/>
    <w:rsid w:val="EBBDDD5C"/>
    <w:rsid w:val="EBDB6AD2"/>
    <w:rsid w:val="EBFA6059"/>
    <w:rsid w:val="EBFEF2F7"/>
    <w:rsid w:val="ECDFD1C8"/>
    <w:rsid w:val="EDED4F1F"/>
    <w:rsid w:val="EEF1438E"/>
    <w:rsid w:val="EEF63084"/>
    <w:rsid w:val="EEFE8179"/>
    <w:rsid w:val="EF7DE7BA"/>
    <w:rsid w:val="EFD7BED1"/>
    <w:rsid w:val="EFF64CAC"/>
    <w:rsid w:val="EFFC88B3"/>
    <w:rsid w:val="EFFF47FE"/>
    <w:rsid w:val="EFFF8815"/>
    <w:rsid w:val="F1EF97B7"/>
    <w:rsid w:val="F31FE794"/>
    <w:rsid w:val="F5AB9E36"/>
    <w:rsid w:val="F5CF7737"/>
    <w:rsid w:val="F6AE7064"/>
    <w:rsid w:val="F6DF4041"/>
    <w:rsid w:val="F6F75E15"/>
    <w:rsid w:val="F78F7885"/>
    <w:rsid w:val="F7B41E87"/>
    <w:rsid w:val="F7C58140"/>
    <w:rsid w:val="F7EB5BC1"/>
    <w:rsid w:val="F7ED79A0"/>
    <w:rsid w:val="F87C170B"/>
    <w:rsid w:val="FABB74F6"/>
    <w:rsid w:val="FABF2749"/>
    <w:rsid w:val="FB1C56D7"/>
    <w:rsid w:val="FB5E399B"/>
    <w:rsid w:val="FBCE52DD"/>
    <w:rsid w:val="FBDF6BAF"/>
    <w:rsid w:val="FBEE3394"/>
    <w:rsid w:val="FBF24C12"/>
    <w:rsid w:val="FBF7437B"/>
    <w:rsid w:val="FBFDB37F"/>
    <w:rsid w:val="FCDE1846"/>
    <w:rsid w:val="FCDF233C"/>
    <w:rsid w:val="FD3F9BA8"/>
    <w:rsid w:val="FD5F59C2"/>
    <w:rsid w:val="FD6F3E94"/>
    <w:rsid w:val="FD79C12B"/>
    <w:rsid w:val="FDE77D87"/>
    <w:rsid w:val="FDFF25EC"/>
    <w:rsid w:val="FEBFDC81"/>
    <w:rsid w:val="FED778D2"/>
    <w:rsid w:val="FEEB2A4B"/>
    <w:rsid w:val="FF0750BB"/>
    <w:rsid w:val="FF737862"/>
    <w:rsid w:val="FF7E0B9A"/>
    <w:rsid w:val="FF9E1DFA"/>
    <w:rsid w:val="FF9F7235"/>
    <w:rsid w:val="FFB7B17A"/>
    <w:rsid w:val="FFBFE4D4"/>
    <w:rsid w:val="FFCD0539"/>
    <w:rsid w:val="FFD68E89"/>
    <w:rsid w:val="FFDB563B"/>
    <w:rsid w:val="FFF1D24B"/>
    <w:rsid w:val="FFF741E0"/>
    <w:rsid w:val="FFF75D65"/>
    <w:rsid w:val="FFFB4251"/>
    <w:rsid w:val="FFFD884E"/>
    <w:rsid w:val="FFFE7ACD"/>
    <w:rsid w:val="FFFF8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0" w:semiHidden="0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qFormat="1" w:unhideWhenUsed="0" w:uiPriority="99" w:name="index 6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2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2"/>
    <w:qFormat/>
    <w:uiPriority w:val="99"/>
    <w:pPr>
      <w:keepNext/>
      <w:keepLines/>
      <w:spacing w:before="260" w:after="260" w:line="413" w:lineRule="auto"/>
      <w:outlineLvl w:val="1"/>
    </w:pPr>
    <w:rPr>
      <w:rFonts w:ascii="Luxi Sans" w:hAnsi="Luxi Sans" w:cs="Luxi Sans"/>
      <w:b/>
      <w:bCs/>
      <w:sz w:val="32"/>
      <w:szCs w:val="32"/>
    </w:rPr>
  </w:style>
  <w:style w:type="paragraph" w:styleId="6">
    <w:name w:val="heading 3"/>
    <w:basedOn w:val="1"/>
    <w:next w:val="1"/>
    <w:link w:val="23"/>
    <w:qFormat/>
    <w:uiPriority w:val="99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kern w:val="0"/>
      <w:sz w:val="28"/>
      <w:szCs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  <w:rPr>
      <w:rFonts w:ascii="??_GB2312" w:hAnsi="Times New Roman" w:eastAsia="Times New Roman" w:cs="Times New Roman"/>
      <w:sz w:val="32"/>
      <w:szCs w:val="20"/>
    </w:rPr>
  </w:style>
  <w:style w:type="paragraph" w:styleId="3">
    <w:name w:val="Plain Text"/>
    <w:basedOn w:val="1"/>
    <w:next w:val="1"/>
    <w:qFormat/>
    <w:locked/>
    <w:uiPriority w:val="0"/>
    <w:rPr>
      <w:rFonts w:ascii="宋体" w:hAnsi="Courier New" w:cs="Courier New"/>
    </w:rPr>
  </w:style>
  <w:style w:type="paragraph" w:styleId="8">
    <w:name w:val="index 6"/>
    <w:basedOn w:val="1"/>
    <w:next w:val="1"/>
    <w:semiHidden/>
    <w:qFormat/>
    <w:uiPriority w:val="99"/>
    <w:pPr>
      <w:spacing w:line="578" w:lineRule="atLeast"/>
      <w:ind w:firstLine="200" w:firstLineChars="200"/>
    </w:pPr>
    <w:rPr>
      <w:rFonts w:ascii="方正黑体简体" w:eastAsia="方正黑体简体" w:cs="方正黑体简体"/>
      <w:b/>
      <w:bCs/>
      <w:color w:val="000000"/>
      <w:sz w:val="32"/>
      <w:szCs w:val="32"/>
    </w:rPr>
  </w:style>
  <w:style w:type="paragraph" w:styleId="9">
    <w:name w:val="Body Text"/>
    <w:basedOn w:val="1"/>
    <w:next w:val="1"/>
    <w:link w:val="26"/>
    <w:qFormat/>
    <w:uiPriority w:val="99"/>
    <w:pPr>
      <w:spacing w:after="120"/>
    </w:pPr>
  </w:style>
  <w:style w:type="paragraph" w:styleId="10">
    <w:name w:val="Body Text Indent"/>
    <w:basedOn w:val="1"/>
    <w:link w:val="24"/>
    <w:qFormat/>
    <w:locked/>
    <w:uiPriority w:val="99"/>
    <w:pPr>
      <w:spacing w:after="120"/>
      <w:ind w:left="200" w:leftChars="200"/>
    </w:pPr>
  </w:style>
  <w:style w:type="paragraph" w:styleId="11">
    <w:name w:val="Date"/>
    <w:basedOn w:val="1"/>
    <w:next w:val="1"/>
    <w:link w:val="27"/>
    <w:qFormat/>
    <w:uiPriority w:val="99"/>
    <w:pPr>
      <w:ind w:left="2500" w:leftChars="2500"/>
    </w:pPr>
  </w:style>
  <w:style w:type="paragraph" w:styleId="12">
    <w:name w:val="Balloon Text"/>
    <w:basedOn w:val="1"/>
    <w:link w:val="28"/>
    <w:semiHidden/>
    <w:qFormat/>
    <w:uiPriority w:val="99"/>
    <w:rPr>
      <w:sz w:val="18"/>
      <w:szCs w:val="18"/>
    </w:rPr>
  </w:style>
  <w:style w:type="paragraph" w:styleId="13">
    <w:name w:val="footer"/>
    <w:basedOn w:val="1"/>
    <w:next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qFormat/>
    <w:locked/>
    <w:uiPriority w:val="0"/>
    <w:pPr>
      <w:spacing w:after="120" w:line="480" w:lineRule="auto"/>
    </w:pPr>
    <w:rPr>
      <w:rFonts w:ascii="Times New Roman" w:hAnsi="Times New Roman" w:eastAsia="宋体" w:cs="Times New Roman"/>
    </w:rPr>
  </w:style>
  <w:style w:type="paragraph" w:styleId="16">
    <w:name w:val="Body Text First Indent 2"/>
    <w:basedOn w:val="10"/>
    <w:next w:val="1"/>
    <w:link w:val="25"/>
    <w:qFormat/>
    <w:locked/>
    <w:uiPriority w:val="99"/>
    <w:pPr>
      <w:ind w:firstLine="420" w:firstLineChars="200"/>
    </w:pPr>
  </w:style>
  <w:style w:type="character" w:styleId="19">
    <w:name w:val="Strong"/>
    <w:basedOn w:val="18"/>
    <w:qFormat/>
    <w:locked/>
    <w:uiPriority w:val="22"/>
    <w:rPr>
      <w:b/>
      <w:bCs/>
    </w:rPr>
  </w:style>
  <w:style w:type="character" w:styleId="20">
    <w:name w:val="page number"/>
    <w:basedOn w:val="18"/>
    <w:qFormat/>
    <w:uiPriority w:val="99"/>
  </w:style>
  <w:style w:type="character" w:customStyle="1" w:styleId="21">
    <w:name w:val="标题 1 Char"/>
    <w:basedOn w:val="18"/>
    <w:link w:val="4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22">
    <w:name w:val="标题 2 Char"/>
    <w:basedOn w:val="18"/>
    <w:link w:val="5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3">
    <w:name w:val="标题 3 Char"/>
    <w:basedOn w:val="18"/>
    <w:link w:val="6"/>
    <w:semiHidden/>
    <w:qFormat/>
    <w:locked/>
    <w:uiPriority w:val="99"/>
    <w:rPr>
      <w:rFonts w:ascii="Calibri" w:hAnsi="Calibri" w:cs="Calibri"/>
      <w:b/>
      <w:bCs/>
      <w:sz w:val="32"/>
      <w:szCs w:val="32"/>
    </w:rPr>
  </w:style>
  <w:style w:type="character" w:customStyle="1" w:styleId="24">
    <w:name w:val="正文文本缩进 Char"/>
    <w:basedOn w:val="18"/>
    <w:link w:val="10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25">
    <w:name w:val="正文首行缩进 2 Char"/>
    <w:basedOn w:val="24"/>
    <w:link w:val="16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26">
    <w:name w:val="正文文本 Char"/>
    <w:basedOn w:val="18"/>
    <w:link w:val="9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27">
    <w:name w:val="日期 Char"/>
    <w:basedOn w:val="18"/>
    <w:link w:val="11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28">
    <w:name w:val="批注框文本 Char"/>
    <w:basedOn w:val="18"/>
    <w:link w:val="12"/>
    <w:semiHidden/>
    <w:qFormat/>
    <w:locked/>
    <w:uiPriority w:val="99"/>
    <w:rPr>
      <w:rFonts w:ascii="Calibri" w:hAnsi="Calibri" w:cs="Calibri"/>
      <w:sz w:val="2"/>
      <w:szCs w:val="2"/>
    </w:rPr>
  </w:style>
  <w:style w:type="character" w:customStyle="1" w:styleId="29">
    <w:name w:val="页脚 Char"/>
    <w:basedOn w:val="18"/>
    <w:link w:val="1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30">
    <w:name w:val="页眉 Char"/>
    <w:basedOn w:val="18"/>
    <w:link w:val="1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31">
    <w:name w:val="Char Char Char Char Char Char Char Char Char Char Char Char Char Char Char"/>
    <w:basedOn w:val="1"/>
    <w:qFormat/>
    <w:uiPriority w:val="99"/>
    <w:rPr>
      <w:rFonts w:ascii="Arial" w:hAnsi="Arial" w:cs="Arial"/>
      <w:sz w:val="20"/>
      <w:szCs w:val="20"/>
    </w:rPr>
  </w:style>
  <w:style w:type="paragraph" w:customStyle="1" w:styleId="32">
    <w:name w:val="正文缩进1"/>
    <w:basedOn w:val="1"/>
    <w:qFormat/>
    <w:uiPriority w:val="99"/>
    <w:pPr>
      <w:ind w:firstLine="200" w:firstLineChars="200"/>
    </w:pPr>
    <w:rPr>
      <w:rFonts w:ascii="Times New Roman" w:hAnsi="Times New Roman" w:cs="Times New Roman"/>
    </w:rPr>
  </w:style>
  <w:style w:type="character" w:customStyle="1" w:styleId="33">
    <w:name w:val="font41"/>
    <w:qFormat/>
    <w:uiPriority w:val="99"/>
    <w:rPr>
      <w:rFonts w:ascii="??_GB2312" w:eastAsia="Times New Roman" w:cs="??_GB2312"/>
      <w:color w:val="000000"/>
      <w:sz w:val="24"/>
      <w:szCs w:val="24"/>
      <w:u w:val="none"/>
    </w:rPr>
  </w:style>
  <w:style w:type="character" w:customStyle="1" w:styleId="34">
    <w:name w:val="textfont11"/>
    <w:basedOn w:val="18"/>
    <w:qFormat/>
    <w:uiPriority w:val="99"/>
    <w:rPr>
      <w:color w:val="000000"/>
      <w:sz w:val="21"/>
      <w:szCs w:val="21"/>
      <w:u w:val="none"/>
    </w:rPr>
  </w:style>
  <w:style w:type="paragraph" w:customStyle="1" w:styleId="35">
    <w:name w:val="一级标题"/>
    <w:basedOn w:val="1"/>
    <w:next w:val="1"/>
    <w:qFormat/>
    <w:uiPriority w:val="0"/>
    <w:pPr>
      <w:numPr>
        <w:ilvl w:val="0"/>
        <w:numId w:val="1"/>
      </w:numPr>
      <w:adjustRightInd w:val="0"/>
      <w:snapToGrid w:val="0"/>
      <w:outlineLvl w:val="0"/>
    </w:pPr>
    <w:rPr>
      <w:rFonts w:ascii="黑体" w:hAnsi="黑体" w:eastAsia="黑体" w:cs="Times New Roman"/>
      <w:sz w:val="32"/>
      <w:szCs w:val="24"/>
    </w:rPr>
  </w:style>
  <w:style w:type="paragraph" w:customStyle="1" w:styleId="3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color w:val="000000"/>
      <w:kern w:val="0"/>
      <w:sz w:val="24"/>
    </w:rPr>
  </w:style>
  <w:style w:type="paragraph" w:customStyle="1" w:styleId="37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3685</Words>
  <Characters>3740</Characters>
  <Lines>57</Lines>
  <Paragraphs>16</Paragraphs>
  <TotalTime>8</TotalTime>
  <ScaleCrop>false</ScaleCrop>
  <LinksUpToDate>false</LinksUpToDate>
  <CharactersWithSpaces>3740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2021-09-25T10:29:00Z</dcterms:created>
  <dc:creator>微软用户</dc:creator>
  <cp:lastModifiedBy>bxjxj</cp:lastModifiedBy>
  <cp:lastPrinted>2022-10-26T10:10:00Z</cp:lastPrinted>
  <dcterms:modified xsi:type="dcterms:W3CDTF">2023-04-11T08:57:53Z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2826E2CEAFA54BCD9F42AEF38B4AF30A</vt:lpwstr>
  </property>
</Properties>
</file>